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17C" w:rsidRPr="00F5417C" w:rsidRDefault="00F5417C" w:rsidP="00F5417C">
      <w:pPr>
        <w:pStyle w:val="speed-page-title"/>
        <w:spacing w:before="0" w:beforeAutospacing="0" w:after="0" w:afterAutospacing="0"/>
        <w:jc w:val="center"/>
        <w:rPr>
          <w:rFonts w:ascii="黑体" w:eastAsia="黑体" w:hAnsi="黑体"/>
          <w:color w:val="000000"/>
          <w:sz w:val="30"/>
          <w:szCs w:val="30"/>
        </w:rPr>
      </w:pPr>
      <w:r w:rsidRPr="00F5417C">
        <w:rPr>
          <w:rFonts w:ascii="黑体" w:eastAsia="黑体" w:hAnsi="黑体"/>
          <w:color w:val="000000"/>
          <w:sz w:val="30"/>
          <w:szCs w:val="30"/>
        </w:rPr>
        <w:t>关于加强国家重点实验室建设发展的若干意见</w:t>
      </w:r>
    </w:p>
    <w:p w:rsidR="00F5417C" w:rsidRDefault="00F5417C" w:rsidP="00F5417C">
      <w:pPr>
        <w:pStyle w:val="speed-page-tts"/>
        <w:spacing w:before="0" w:beforeAutospacing="0" w:after="0" w:afterAutospacing="0"/>
        <w:jc w:val="center"/>
        <w:rPr>
          <w:rFonts w:ascii="PingFangSC-Regular" w:hAnsi="PingFangSC-Regular" w:cs="Arial" w:hint="eastAsia"/>
          <w:color w:val="000000"/>
          <w:spacing w:val="18"/>
          <w:sz w:val="26"/>
          <w:szCs w:val="26"/>
        </w:rPr>
      </w:pPr>
      <w:r>
        <w:rPr>
          <w:rFonts w:ascii="PingFangSC-Regular" w:hAnsi="PingFangSC-Regular" w:cs="Arial"/>
          <w:color w:val="000000"/>
          <w:spacing w:val="18"/>
          <w:sz w:val="26"/>
          <w:szCs w:val="26"/>
        </w:rPr>
        <w:t>国科发基〔</w:t>
      </w:r>
      <w:r>
        <w:rPr>
          <w:rFonts w:ascii="PingFangSC-Regular" w:hAnsi="PingFangSC-Regular" w:cs="Arial"/>
          <w:color w:val="000000"/>
          <w:spacing w:val="18"/>
          <w:sz w:val="26"/>
          <w:szCs w:val="26"/>
        </w:rPr>
        <w:t>2018</w:t>
      </w:r>
      <w:r>
        <w:rPr>
          <w:rFonts w:ascii="PingFangSC-Regular" w:hAnsi="PingFangSC-Regular" w:cs="Arial"/>
          <w:color w:val="000000"/>
          <w:spacing w:val="18"/>
          <w:sz w:val="26"/>
          <w:szCs w:val="26"/>
        </w:rPr>
        <w:t>〕</w:t>
      </w:r>
      <w:r>
        <w:rPr>
          <w:rFonts w:ascii="PingFangSC-Regular" w:hAnsi="PingFangSC-Regular" w:cs="Arial"/>
          <w:color w:val="000000"/>
          <w:spacing w:val="18"/>
          <w:sz w:val="26"/>
          <w:szCs w:val="26"/>
        </w:rPr>
        <w:t>64</w:t>
      </w:r>
      <w:r>
        <w:rPr>
          <w:rFonts w:ascii="PingFangSC-Regular" w:hAnsi="PingFangSC-Regular" w:cs="Arial"/>
          <w:color w:val="000000"/>
          <w:spacing w:val="18"/>
          <w:sz w:val="26"/>
          <w:szCs w:val="26"/>
        </w:rPr>
        <w:t>号</w:t>
      </w:r>
    </w:p>
    <w:p w:rsidR="00F5417C" w:rsidRDefault="00F5417C" w:rsidP="00F5417C">
      <w:pPr>
        <w:pStyle w:val="speed-page-tts"/>
        <w:spacing w:before="0" w:beforeAutospacing="0" w:after="0" w:afterAutospacing="0"/>
        <w:rPr>
          <w:rFonts w:ascii="PingFangSC-Regular" w:hAnsi="PingFangSC-Regular" w:cs="Arial" w:hint="eastAsia"/>
          <w:color w:val="000000"/>
          <w:spacing w:val="18"/>
          <w:sz w:val="26"/>
          <w:szCs w:val="26"/>
        </w:rPr>
      </w:pPr>
      <w:r>
        <w:rPr>
          <w:rFonts w:ascii="PingFangSC-Regular" w:hAnsi="PingFangSC-Regular" w:cs="Arial"/>
          <w:color w:val="000000"/>
          <w:spacing w:val="18"/>
          <w:sz w:val="26"/>
          <w:szCs w:val="26"/>
        </w:rPr>
        <w:t>各省、自治区、直辖市、计划单列市科技厅（委、局）、财政厅（局），新疆生产建设兵团科技局、财务局，国务院各有关部门、直属机构，中央军委科学技术委员会，各有关单位：</w:t>
      </w:r>
    </w:p>
    <w:p w:rsidR="00F5417C" w:rsidRPr="00F5417C" w:rsidRDefault="00F5417C" w:rsidP="00F5417C">
      <w:pPr>
        <w:pStyle w:val="speed-page-tts"/>
        <w:spacing w:before="0" w:beforeAutospacing="0" w:after="0" w:afterAutospacing="0"/>
        <w:rPr>
          <w:rFonts w:ascii="PingFangSC-Regular" w:hAnsi="PingFangSC-Regular" w:cs="Arial" w:hint="eastAsia"/>
          <w:spacing w:val="18"/>
          <w:sz w:val="26"/>
          <w:szCs w:val="26"/>
        </w:rPr>
      </w:pPr>
      <w:r>
        <w:rPr>
          <w:rFonts w:ascii="PingFangSC-Regular" w:hAnsi="PingFangSC-Regular" w:cs="Arial"/>
          <w:color w:val="000000"/>
          <w:spacing w:val="18"/>
          <w:sz w:val="26"/>
          <w:szCs w:val="26"/>
        </w:rPr>
        <w:t>国家重点实验室是国家组织开展基础研究和应用基础研究、聚集和培养优秀科技人才、开展高水平学术交流、具备先进科研装备的重要科技创新基地，是国家创新体系的重要组成部分。经过</w:t>
      </w:r>
      <w:r>
        <w:rPr>
          <w:rFonts w:ascii="PingFangSC-Regular" w:hAnsi="PingFangSC-Regular" w:cs="Arial"/>
          <w:color w:val="000000"/>
          <w:spacing w:val="18"/>
          <w:sz w:val="26"/>
          <w:szCs w:val="26"/>
        </w:rPr>
        <w:t>30</w:t>
      </w:r>
      <w:r>
        <w:rPr>
          <w:rFonts w:ascii="PingFangSC-Regular" w:hAnsi="PingFangSC-Regular" w:cs="Arial"/>
          <w:color w:val="000000"/>
          <w:spacing w:val="18"/>
          <w:sz w:val="26"/>
          <w:szCs w:val="26"/>
        </w:rPr>
        <w:t>多年的建设发展，已成为孕育重大原始创新、推动学科发展和解决国家战略重大科学技术问题的重要力量。但与全面加强基础科学研究建设世界科技强国的要求相比，还</w:t>
      </w:r>
      <w:r w:rsidRPr="00F5417C">
        <w:rPr>
          <w:rFonts w:ascii="PingFangSC-Regular" w:hAnsi="PingFangSC-Regular" w:cs="Arial"/>
          <w:spacing w:val="18"/>
          <w:sz w:val="26"/>
          <w:szCs w:val="26"/>
        </w:rPr>
        <w:t>存在重大原创性成果缺乏、世界一流领军科学家不足、管理体制机制</w:t>
      </w:r>
      <w:r w:rsidRPr="00F5417C">
        <w:rPr>
          <w:rStyle w:val="smart-answer-keyword"/>
          <w:rFonts w:ascii="PingFangSC-Regular" w:hAnsi="PingFangSC-Regular" w:cs="Arial"/>
          <w:spacing w:val="18"/>
          <w:sz w:val="26"/>
          <w:szCs w:val="26"/>
        </w:rPr>
        <w:t>亟待</w:t>
      </w:r>
      <w:r w:rsidRPr="00F5417C">
        <w:rPr>
          <w:rFonts w:ascii="PingFangSC-Regular" w:hAnsi="PingFangSC-Regular" w:cs="Arial"/>
          <w:spacing w:val="18"/>
          <w:sz w:val="26"/>
          <w:szCs w:val="26"/>
        </w:rPr>
        <w:t>深化等问题。为进一步加强国家重点实验室建设发展，依据《关于深化中央财政科技计划（专项、基金等）管理改革的方案》（国发〔</w:t>
      </w:r>
      <w:r w:rsidRPr="00F5417C">
        <w:rPr>
          <w:rFonts w:ascii="PingFangSC-Regular" w:hAnsi="PingFangSC-Regular" w:cs="Arial"/>
          <w:spacing w:val="18"/>
          <w:sz w:val="26"/>
          <w:szCs w:val="26"/>
        </w:rPr>
        <w:t>2014</w:t>
      </w:r>
      <w:r w:rsidRPr="00F5417C">
        <w:rPr>
          <w:rFonts w:ascii="PingFangSC-Regular" w:hAnsi="PingFangSC-Regular" w:cs="Arial"/>
          <w:spacing w:val="18"/>
          <w:sz w:val="26"/>
          <w:szCs w:val="26"/>
        </w:rPr>
        <w:t>〕</w:t>
      </w:r>
      <w:r w:rsidRPr="00F5417C">
        <w:rPr>
          <w:rFonts w:ascii="PingFangSC-Regular" w:hAnsi="PingFangSC-Regular" w:cs="Arial"/>
          <w:spacing w:val="18"/>
          <w:sz w:val="26"/>
          <w:szCs w:val="26"/>
        </w:rPr>
        <w:t>64</w:t>
      </w:r>
      <w:r w:rsidRPr="00F5417C">
        <w:rPr>
          <w:rFonts w:ascii="PingFangSC-Regular" w:hAnsi="PingFangSC-Regular" w:cs="Arial"/>
          <w:spacing w:val="18"/>
          <w:sz w:val="26"/>
          <w:szCs w:val="26"/>
        </w:rPr>
        <w:t>号）、《国务院关于全面加强基础科学研究的若干意见》（国发〔</w:t>
      </w:r>
      <w:r w:rsidRPr="00F5417C">
        <w:rPr>
          <w:rFonts w:ascii="PingFangSC-Regular" w:hAnsi="PingFangSC-Regular" w:cs="Arial"/>
          <w:spacing w:val="18"/>
          <w:sz w:val="26"/>
          <w:szCs w:val="26"/>
        </w:rPr>
        <w:t>2018</w:t>
      </w:r>
      <w:r w:rsidRPr="00F5417C">
        <w:rPr>
          <w:rFonts w:ascii="PingFangSC-Regular" w:hAnsi="PingFangSC-Regular" w:cs="Arial"/>
          <w:spacing w:val="18"/>
          <w:sz w:val="26"/>
          <w:szCs w:val="26"/>
        </w:rPr>
        <w:t>〕</w:t>
      </w:r>
      <w:r w:rsidRPr="00F5417C">
        <w:rPr>
          <w:rFonts w:ascii="PingFangSC-Regular" w:hAnsi="PingFangSC-Regular" w:cs="Arial"/>
          <w:spacing w:val="18"/>
          <w:sz w:val="26"/>
          <w:szCs w:val="26"/>
        </w:rPr>
        <w:t>4</w:t>
      </w:r>
      <w:r w:rsidRPr="00F5417C">
        <w:rPr>
          <w:rFonts w:ascii="PingFangSC-Regular" w:hAnsi="PingFangSC-Regular" w:cs="Arial"/>
          <w:spacing w:val="18"/>
          <w:sz w:val="26"/>
          <w:szCs w:val="26"/>
        </w:rPr>
        <w:t>号）和《国家科技创新基地优化整合方案》（国科发基〔</w:t>
      </w:r>
      <w:r w:rsidRPr="00F5417C">
        <w:rPr>
          <w:rFonts w:ascii="PingFangSC-Regular" w:hAnsi="PingFangSC-Regular" w:cs="Arial"/>
          <w:spacing w:val="18"/>
          <w:sz w:val="26"/>
          <w:szCs w:val="26"/>
        </w:rPr>
        <w:t>2017</w:t>
      </w:r>
      <w:r w:rsidRPr="00F5417C">
        <w:rPr>
          <w:rFonts w:ascii="PingFangSC-Regular" w:hAnsi="PingFangSC-Regular" w:cs="Arial"/>
          <w:spacing w:val="18"/>
          <w:sz w:val="26"/>
          <w:szCs w:val="26"/>
        </w:rPr>
        <w:t>〕</w:t>
      </w:r>
      <w:r w:rsidRPr="00F5417C">
        <w:rPr>
          <w:rFonts w:ascii="PingFangSC-Regular" w:hAnsi="PingFangSC-Regular" w:cs="Arial"/>
          <w:spacing w:val="18"/>
          <w:sz w:val="26"/>
          <w:szCs w:val="26"/>
        </w:rPr>
        <w:t>250</w:t>
      </w:r>
      <w:r w:rsidRPr="00F5417C">
        <w:rPr>
          <w:rFonts w:ascii="PingFangSC-Regular" w:hAnsi="PingFangSC-Regular" w:cs="Arial"/>
          <w:spacing w:val="18"/>
          <w:sz w:val="26"/>
          <w:szCs w:val="26"/>
        </w:rPr>
        <w:t>号），现提出以下意见。</w:t>
      </w:r>
    </w:p>
    <w:p w:rsidR="00F5417C" w:rsidRPr="00F5417C" w:rsidRDefault="00F5417C" w:rsidP="00F5417C">
      <w:pPr>
        <w:pStyle w:val="speed-page-tts"/>
        <w:spacing w:before="0" w:beforeAutospacing="0" w:after="0" w:afterAutospacing="0"/>
        <w:rPr>
          <w:rFonts w:ascii="PingFangSC-Regular" w:hAnsi="PingFangSC-Regular" w:cs="Arial" w:hint="eastAsia"/>
          <w:spacing w:val="18"/>
          <w:sz w:val="26"/>
          <w:szCs w:val="26"/>
        </w:rPr>
      </w:pPr>
      <w:r w:rsidRPr="00F5417C">
        <w:rPr>
          <w:rFonts w:ascii="PingFangSC-Regular" w:hAnsi="PingFangSC-Regular" w:cs="Arial"/>
          <w:spacing w:val="18"/>
          <w:sz w:val="26"/>
          <w:szCs w:val="26"/>
        </w:rPr>
        <w:t>一、总体要求</w:t>
      </w:r>
    </w:p>
    <w:p w:rsidR="00F5417C" w:rsidRPr="00F5417C" w:rsidRDefault="00F5417C" w:rsidP="00F5417C">
      <w:pPr>
        <w:pStyle w:val="speed-page-tts"/>
        <w:spacing w:before="0" w:beforeAutospacing="0" w:after="0" w:afterAutospacing="0"/>
        <w:rPr>
          <w:rFonts w:ascii="PingFangSC-Regular" w:hAnsi="PingFangSC-Regular" w:cs="Arial" w:hint="eastAsia"/>
          <w:spacing w:val="18"/>
          <w:sz w:val="26"/>
          <w:szCs w:val="26"/>
        </w:rPr>
      </w:pPr>
      <w:r w:rsidRPr="00F5417C">
        <w:rPr>
          <w:rFonts w:ascii="PingFangSC-Regular" w:hAnsi="PingFangSC-Regular" w:cs="Arial"/>
          <w:spacing w:val="18"/>
          <w:sz w:val="26"/>
          <w:szCs w:val="26"/>
        </w:rPr>
        <w:t>（一）指导思想。</w:t>
      </w:r>
    </w:p>
    <w:p w:rsidR="00F5417C" w:rsidRDefault="00F5417C" w:rsidP="00F5417C">
      <w:pPr>
        <w:pStyle w:val="speed-page-tts"/>
        <w:spacing w:before="0" w:beforeAutospacing="0" w:after="0" w:afterAutospacing="0"/>
        <w:rPr>
          <w:rFonts w:ascii="PingFangSC-Regular" w:hAnsi="PingFangSC-Regular" w:cs="Arial" w:hint="eastAsia"/>
          <w:color w:val="000000"/>
          <w:spacing w:val="18"/>
          <w:sz w:val="26"/>
          <w:szCs w:val="26"/>
        </w:rPr>
      </w:pPr>
      <w:r w:rsidRPr="00F5417C">
        <w:rPr>
          <w:rFonts w:ascii="PingFangSC-Regular" w:hAnsi="PingFangSC-Regular" w:cs="Arial"/>
          <w:spacing w:val="18"/>
          <w:sz w:val="26"/>
          <w:szCs w:val="26"/>
        </w:rPr>
        <w:t>全面贯彻党的十九大精神，以</w:t>
      </w:r>
      <w:r w:rsidRPr="00F5417C">
        <w:rPr>
          <w:rStyle w:val="smart-answer-keyword"/>
          <w:rFonts w:ascii="PingFangSC-Regular" w:hAnsi="PingFangSC-Regular" w:cs="Arial"/>
          <w:spacing w:val="18"/>
          <w:sz w:val="26"/>
          <w:szCs w:val="26"/>
        </w:rPr>
        <w:t>习近平</w:t>
      </w:r>
      <w:r w:rsidRPr="00F5417C">
        <w:rPr>
          <w:rFonts w:ascii="PingFangSC-Regular" w:hAnsi="PingFangSC-Regular" w:cs="Arial"/>
          <w:spacing w:val="18"/>
          <w:sz w:val="26"/>
          <w:szCs w:val="26"/>
        </w:rPr>
        <w:t>新时代</w:t>
      </w:r>
      <w:r w:rsidRPr="00F5417C">
        <w:rPr>
          <w:rStyle w:val="smart-answer-keyword"/>
          <w:rFonts w:ascii="PingFangSC-Regular" w:hAnsi="PingFangSC-Regular" w:cs="Arial"/>
          <w:spacing w:val="18"/>
          <w:sz w:val="26"/>
          <w:szCs w:val="26"/>
        </w:rPr>
        <w:t>中国特色社会主义思想</w:t>
      </w:r>
      <w:r w:rsidRPr="00F5417C">
        <w:rPr>
          <w:rFonts w:ascii="PingFangSC-Regular" w:hAnsi="PingFangSC-Regular" w:cs="Arial"/>
          <w:spacing w:val="18"/>
          <w:sz w:val="26"/>
          <w:szCs w:val="26"/>
        </w:rPr>
        <w:t>为指导，以加快建设创新型国家为目标，面向</w:t>
      </w:r>
      <w:r>
        <w:rPr>
          <w:rFonts w:ascii="PingFangSC-Regular" w:hAnsi="PingFangSC-Regular" w:cs="Arial"/>
          <w:color w:val="000000"/>
          <w:spacing w:val="18"/>
          <w:sz w:val="26"/>
          <w:szCs w:val="26"/>
        </w:rPr>
        <w:t>世界科技前沿、面向国家重大需求、面向国民经济主战场，加强顶层设计和系统</w:t>
      </w:r>
      <w:r>
        <w:rPr>
          <w:rFonts w:ascii="PingFangSC-Regular" w:hAnsi="PingFangSC-Regular" w:cs="Arial"/>
          <w:color w:val="000000"/>
          <w:spacing w:val="18"/>
          <w:sz w:val="26"/>
          <w:szCs w:val="26"/>
        </w:rPr>
        <w:lastRenderedPageBreak/>
        <w:t>布局，加大建设力度和体制机制创新，强化基础研究和应用基础研究，凝聚和培养一流优秀人才，引领未来科学技术发展方向，产出重大原创成果，大幅提升国家重点实验室的原始创新能力、国际学术影响力、学科发展带动力、国家需求和社会发展支撑力，打造国家重点实验室</w:t>
      </w:r>
      <w:r>
        <w:rPr>
          <w:rFonts w:ascii="PingFangSC-Regular" w:hAnsi="PingFangSC-Regular" w:cs="Arial"/>
          <w:color w:val="000000"/>
          <w:spacing w:val="18"/>
          <w:sz w:val="26"/>
          <w:szCs w:val="26"/>
        </w:rPr>
        <w:t>“</w:t>
      </w:r>
      <w:r>
        <w:rPr>
          <w:rFonts w:ascii="PingFangSC-Regular" w:hAnsi="PingFangSC-Regular" w:cs="Arial"/>
          <w:color w:val="000000"/>
          <w:spacing w:val="18"/>
          <w:sz w:val="26"/>
          <w:szCs w:val="26"/>
        </w:rPr>
        <w:t>升级版</w:t>
      </w:r>
      <w:r>
        <w:rPr>
          <w:rFonts w:ascii="PingFangSC-Regular" w:hAnsi="PingFangSC-Regular" w:cs="Arial"/>
          <w:color w:val="000000"/>
          <w:spacing w:val="18"/>
          <w:sz w:val="26"/>
          <w:szCs w:val="26"/>
        </w:rPr>
        <w:t>”</w:t>
      </w:r>
      <w:r>
        <w:rPr>
          <w:rFonts w:ascii="PingFangSC-Regular" w:hAnsi="PingFangSC-Regular" w:cs="Arial"/>
          <w:color w:val="000000"/>
          <w:spacing w:val="18"/>
          <w:sz w:val="26"/>
          <w:szCs w:val="26"/>
        </w:rPr>
        <w:t>，保持国家重点实验室的创新性、先进性和引领性，构筑国际竞争新优势，促进基础研究与应用研究融通发展，为建设世界科技强国提供有力支撑。</w:t>
      </w:r>
    </w:p>
    <w:p w:rsidR="00F5417C" w:rsidRDefault="00F5417C" w:rsidP="00F5417C">
      <w:pPr>
        <w:pStyle w:val="speed-page-tts"/>
        <w:spacing w:before="0" w:beforeAutospacing="0" w:after="0" w:afterAutospacing="0"/>
        <w:rPr>
          <w:rFonts w:ascii="PingFangSC-Regular" w:hAnsi="PingFangSC-Regular" w:cs="Arial" w:hint="eastAsia"/>
          <w:color w:val="000000"/>
          <w:spacing w:val="18"/>
          <w:sz w:val="26"/>
          <w:szCs w:val="26"/>
        </w:rPr>
      </w:pPr>
      <w:r>
        <w:rPr>
          <w:rFonts w:ascii="PingFangSC-Regular" w:hAnsi="PingFangSC-Regular" w:cs="Arial"/>
          <w:color w:val="000000"/>
          <w:spacing w:val="18"/>
          <w:sz w:val="26"/>
          <w:szCs w:val="26"/>
        </w:rPr>
        <w:t>（二）基本原则。</w:t>
      </w:r>
    </w:p>
    <w:p w:rsidR="00F5417C" w:rsidRDefault="00F5417C" w:rsidP="00F5417C">
      <w:pPr>
        <w:pStyle w:val="speed-page-tts"/>
        <w:spacing w:before="0" w:beforeAutospacing="0" w:after="0" w:afterAutospacing="0"/>
        <w:rPr>
          <w:rFonts w:ascii="PingFangSC-Regular" w:hAnsi="PingFangSC-Regular" w:cs="Arial" w:hint="eastAsia"/>
          <w:color w:val="000000"/>
          <w:spacing w:val="18"/>
          <w:sz w:val="26"/>
          <w:szCs w:val="26"/>
        </w:rPr>
      </w:pPr>
      <w:r>
        <w:rPr>
          <w:rFonts w:ascii="PingFangSC-Regular" w:hAnsi="PingFangSC-Regular" w:cs="Arial"/>
          <w:color w:val="000000"/>
          <w:spacing w:val="18"/>
          <w:sz w:val="26"/>
          <w:szCs w:val="26"/>
        </w:rPr>
        <w:t>——</w:t>
      </w:r>
      <w:r>
        <w:rPr>
          <w:rFonts w:ascii="PingFangSC-Regular" w:hAnsi="PingFangSC-Regular" w:cs="Arial"/>
          <w:color w:val="000000"/>
          <w:spacing w:val="18"/>
          <w:sz w:val="26"/>
          <w:szCs w:val="26"/>
        </w:rPr>
        <w:t>坚持系统布局。按照建设高水平科学与工程研究类国家科技创新基地的要求，加强顶层设计，构建国家重点实验室发展体系，明确各类国家重点实验室功能定位、目标任务。</w:t>
      </w:r>
    </w:p>
    <w:p w:rsidR="00F5417C" w:rsidRDefault="00F5417C" w:rsidP="00F5417C">
      <w:pPr>
        <w:pStyle w:val="speed-page-tts"/>
        <w:spacing w:before="0" w:beforeAutospacing="0" w:after="0" w:afterAutospacing="0"/>
        <w:rPr>
          <w:rFonts w:ascii="PingFangSC-Regular" w:hAnsi="PingFangSC-Regular" w:cs="Arial" w:hint="eastAsia"/>
          <w:color w:val="000000"/>
          <w:spacing w:val="18"/>
          <w:sz w:val="26"/>
          <w:szCs w:val="26"/>
        </w:rPr>
      </w:pPr>
      <w:r>
        <w:rPr>
          <w:rFonts w:ascii="PingFangSC-Regular" w:hAnsi="PingFangSC-Regular" w:cs="Arial"/>
          <w:color w:val="000000"/>
          <w:spacing w:val="18"/>
          <w:sz w:val="26"/>
          <w:szCs w:val="26"/>
        </w:rPr>
        <w:t>——</w:t>
      </w:r>
      <w:r>
        <w:rPr>
          <w:rFonts w:ascii="PingFangSC-Regular" w:hAnsi="PingFangSC-Regular" w:cs="Arial"/>
          <w:color w:val="000000"/>
          <w:spacing w:val="18"/>
          <w:sz w:val="26"/>
          <w:szCs w:val="26"/>
        </w:rPr>
        <w:t>坚持能力提升。加强创新能力建设，注重原始创新，聚集领军人才，增强国家重点实验室持续创新活力，促进重大原创成果产出，提升国际影响力。</w:t>
      </w:r>
    </w:p>
    <w:p w:rsidR="00F5417C" w:rsidRDefault="00F5417C" w:rsidP="00F5417C">
      <w:pPr>
        <w:pStyle w:val="speed-page-tts"/>
        <w:spacing w:before="0" w:beforeAutospacing="0" w:after="0" w:afterAutospacing="0"/>
        <w:rPr>
          <w:rFonts w:ascii="PingFangSC-Regular" w:hAnsi="PingFangSC-Regular" w:cs="Arial" w:hint="eastAsia"/>
          <w:color w:val="000000"/>
          <w:spacing w:val="18"/>
          <w:sz w:val="26"/>
          <w:szCs w:val="26"/>
        </w:rPr>
      </w:pPr>
      <w:r>
        <w:rPr>
          <w:rFonts w:ascii="PingFangSC-Regular" w:hAnsi="PingFangSC-Regular" w:cs="Arial"/>
          <w:color w:val="000000"/>
          <w:spacing w:val="18"/>
          <w:sz w:val="26"/>
          <w:szCs w:val="26"/>
        </w:rPr>
        <w:t>——</w:t>
      </w:r>
      <w:r>
        <w:rPr>
          <w:rFonts w:ascii="PingFangSC-Regular" w:hAnsi="PingFangSC-Regular" w:cs="Arial"/>
          <w:color w:val="000000"/>
          <w:spacing w:val="18"/>
          <w:sz w:val="26"/>
          <w:szCs w:val="26"/>
        </w:rPr>
        <w:t>坚持开放合作。深化</w:t>
      </w:r>
      <w:r>
        <w:rPr>
          <w:rFonts w:ascii="PingFangSC-Regular" w:hAnsi="PingFangSC-Regular" w:cs="Arial"/>
          <w:color w:val="000000"/>
          <w:spacing w:val="18"/>
          <w:sz w:val="26"/>
          <w:szCs w:val="26"/>
        </w:rPr>
        <w:t>“</w:t>
      </w:r>
      <w:r>
        <w:rPr>
          <w:rFonts w:ascii="PingFangSC-Regular" w:hAnsi="PingFangSC-Regular" w:cs="Arial"/>
          <w:color w:val="000000"/>
          <w:spacing w:val="18"/>
          <w:sz w:val="26"/>
          <w:szCs w:val="26"/>
        </w:rPr>
        <w:t>开放、流动、联合、竞争</w:t>
      </w:r>
      <w:r>
        <w:rPr>
          <w:rFonts w:ascii="PingFangSC-Regular" w:hAnsi="PingFangSC-Regular" w:cs="Arial"/>
          <w:color w:val="000000"/>
          <w:spacing w:val="18"/>
          <w:sz w:val="26"/>
          <w:szCs w:val="26"/>
        </w:rPr>
        <w:t>”</w:t>
      </w:r>
      <w:r>
        <w:rPr>
          <w:rFonts w:ascii="PingFangSC-Regular" w:hAnsi="PingFangSC-Regular" w:cs="Arial"/>
          <w:color w:val="000000"/>
          <w:spacing w:val="18"/>
          <w:sz w:val="26"/>
          <w:szCs w:val="26"/>
        </w:rPr>
        <w:t>机制建设，强化开放合作，加强协同创新，推动军民融合，激发创新活力，提升服务能力。</w:t>
      </w:r>
    </w:p>
    <w:p w:rsidR="00F5417C" w:rsidRDefault="00F5417C" w:rsidP="00F5417C">
      <w:pPr>
        <w:pStyle w:val="speed-page-tts"/>
        <w:spacing w:before="0" w:beforeAutospacing="0" w:after="0" w:afterAutospacing="0"/>
        <w:rPr>
          <w:rFonts w:ascii="PingFangSC-Regular" w:hAnsi="PingFangSC-Regular" w:cs="Arial" w:hint="eastAsia"/>
          <w:color w:val="000000"/>
          <w:spacing w:val="18"/>
          <w:sz w:val="26"/>
          <w:szCs w:val="26"/>
        </w:rPr>
      </w:pPr>
      <w:r>
        <w:rPr>
          <w:rFonts w:ascii="PingFangSC-Regular" w:hAnsi="PingFangSC-Regular" w:cs="Arial"/>
          <w:color w:val="000000"/>
          <w:spacing w:val="18"/>
          <w:sz w:val="26"/>
          <w:szCs w:val="26"/>
        </w:rPr>
        <w:t>——</w:t>
      </w:r>
      <w:r>
        <w:rPr>
          <w:rFonts w:ascii="PingFangSC-Regular" w:hAnsi="PingFangSC-Regular" w:cs="Arial"/>
          <w:color w:val="000000"/>
          <w:spacing w:val="18"/>
          <w:sz w:val="26"/>
          <w:szCs w:val="26"/>
        </w:rPr>
        <w:t>坚持科学管理。加强制度建设，强化分类管理，完善评估机制。加强统筹协调，发挥部门地方作用。建立多元投入机制，强化财政稳定支持。</w:t>
      </w:r>
    </w:p>
    <w:p w:rsidR="00F5417C" w:rsidRDefault="00F5417C" w:rsidP="00F5417C">
      <w:pPr>
        <w:pStyle w:val="speed-page-tts"/>
        <w:spacing w:before="0" w:beforeAutospacing="0" w:after="0" w:afterAutospacing="0"/>
        <w:rPr>
          <w:rFonts w:ascii="PingFangSC-Regular" w:hAnsi="PingFangSC-Regular" w:cs="Arial" w:hint="eastAsia"/>
          <w:color w:val="000000"/>
          <w:spacing w:val="18"/>
          <w:sz w:val="26"/>
          <w:szCs w:val="26"/>
        </w:rPr>
      </w:pPr>
      <w:r>
        <w:rPr>
          <w:rFonts w:ascii="PingFangSC-Regular" w:hAnsi="PingFangSC-Regular" w:cs="Arial"/>
          <w:color w:val="000000"/>
          <w:spacing w:val="18"/>
          <w:sz w:val="26"/>
          <w:szCs w:val="26"/>
        </w:rPr>
        <w:t>（三）发展目标。</w:t>
      </w:r>
    </w:p>
    <w:p w:rsidR="00F5417C" w:rsidRDefault="00F5417C" w:rsidP="00F5417C">
      <w:pPr>
        <w:pStyle w:val="speed-page-tts"/>
        <w:spacing w:before="0" w:beforeAutospacing="0" w:after="0" w:afterAutospacing="0"/>
        <w:rPr>
          <w:rFonts w:ascii="PingFangSC-Regular" w:hAnsi="PingFangSC-Regular" w:cs="Arial" w:hint="eastAsia"/>
          <w:color w:val="000000"/>
          <w:spacing w:val="18"/>
          <w:sz w:val="26"/>
          <w:szCs w:val="26"/>
        </w:rPr>
      </w:pPr>
      <w:r>
        <w:rPr>
          <w:rFonts w:ascii="PingFangSC-Regular" w:hAnsi="PingFangSC-Regular" w:cs="Arial"/>
          <w:color w:val="000000"/>
          <w:spacing w:val="18"/>
          <w:sz w:val="26"/>
          <w:szCs w:val="26"/>
        </w:rPr>
        <w:lastRenderedPageBreak/>
        <w:t>到</w:t>
      </w:r>
      <w:r>
        <w:rPr>
          <w:rFonts w:ascii="PingFangSC-Regular" w:hAnsi="PingFangSC-Regular" w:cs="Arial"/>
          <w:color w:val="000000"/>
          <w:spacing w:val="18"/>
          <w:sz w:val="26"/>
          <w:szCs w:val="26"/>
        </w:rPr>
        <w:t>2020</w:t>
      </w:r>
      <w:r>
        <w:rPr>
          <w:rFonts w:ascii="PingFangSC-Regular" w:hAnsi="PingFangSC-Regular" w:cs="Arial"/>
          <w:color w:val="000000"/>
          <w:spacing w:val="18"/>
          <w:sz w:val="26"/>
          <w:szCs w:val="26"/>
        </w:rPr>
        <w:t>年，基本形成定位准确、目标清晰、布局合理、引领发展的国家重点实验室体系。管理体制、运行机制和评价激励制度基本完善。实验室整体水平、开放力度、科研条件和国际影响力显著提升，凝聚和培养一批顶尖科研领军人才和团队，在部分重要学科方向取得一批重大原创性科学成果，支撑引领创新驱动发展的源头供给能力显著增强。实验室经优化调整和新建，数量稳中有增，总量保持在</w:t>
      </w:r>
      <w:r>
        <w:rPr>
          <w:rFonts w:ascii="PingFangSC-Regular" w:hAnsi="PingFangSC-Regular" w:cs="Arial"/>
          <w:color w:val="000000"/>
          <w:spacing w:val="18"/>
          <w:sz w:val="26"/>
          <w:szCs w:val="26"/>
        </w:rPr>
        <w:t>700</w:t>
      </w:r>
      <w:r>
        <w:rPr>
          <w:rFonts w:ascii="PingFangSC-Regular" w:hAnsi="PingFangSC-Regular" w:cs="Arial"/>
          <w:color w:val="000000"/>
          <w:spacing w:val="18"/>
          <w:sz w:val="26"/>
          <w:szCs w:val="26"/>
        </w:rPr>
        <w:t>个左右。其中，学科国家重点实验室保持在</w:t>
      </w:r>
      <w:r>
        <w:rPr>
          <w:rFonts w:ascii="PingFangSC-Regular" w:hAnsi="PingFangSC-Regular" w:cs="Arial"/>
          <w:color w:val="000000"/>
          <w:spacing w:val="18"/>
          <w:sz w:val="26"/>
          <w:szCs w:val="26"/>
        </w:rPr>
        <w:t>300</w:t>
      </w:r>
      <w:r>
        <w:rPr>
          <w:rFonts w:ascii="PingFangSC-Regular" w:hAnsi="PingFangSC-Regular" w:cs="Arial"/>
          <w:color w:val="000000"/>
          <w:spacing w:val="18"/>
          <w:sz w:val="26"/>
          <w:szCs w:val="26"/>
        </w:rPr>
        <w:t>个左右，企业国家重点实验室保持在</w:t>
      </w:r>
      <w:r>
        <w:rPr>
          <w:rFonts w:ascii="PingFangSC-Regular" w:hAnsi="PingFangSC-Regular" w:cs="Arial"/>
          <w:color w:val="000000"/>
          <w:spacing w:val="18"/>
          <w:sz w:val="26"/>
          <w:szCs w:val="26"/>
        </w:rPr>
        <w:t>270</w:t>
      </w:r>
      <w:r>
        <w:rPr>
          <w:rFonts w:ascii="PingFangSC-Regular" w:hAnsi="PingFangSC-Regular" w:cs="Arial"/>
          <w:color w:val="000000"/>
          <w:spacing w:val="18"/>
          <w:sz w:val="26"/>
          <w:szCs w:val="26"/>
        </w:rPr>
        <w:t>个左右，省部共建国家重点实验室保持在</w:t>
      </w:r>
      <w:r>
        <w:rPr>
          <w:rFonts w:ascii="PingFangSC-Regular" w:hAnsi="PingFangSC-Regular" w:cs="Arial"/>
          <w:color w:val="000000"/>
          <w:spacing w:val="18"/>
          <w:sz w:val="26"/>
          <w:szCs w:val="26"/>
        </w:rPr>
        <w:t>70</w:t>
      </w:r>
      <w:r>
        <w:rPr>
          <w:rFonts w:ascii="PingFangSC-Regular" w:hAnsi="PingFangSC-Regular" w:cs="Arial"/>
          <w:color w:val="000000"/>
          <w:spacing w:val="18"/>
          <w:sz w:val="26"/>
          <w:szCs w:val="26"/>
        </w:rPr>
        <w:t>个左右。</w:t>
      </w:r>
    </w:p>
    <w:p w:rsidR="00F5417C" w:rsidRDefault="00F5417C" w:rsidP="00F5417C">
      <w:pPr>
        <w:pStyle w:val="speed-page-tts"/>
        <w:spacing w:before="0" w:beforeAutospacing="0" w:after="0" w:afterAutospacing="0"/>
        <w:rPr>
          <w:rFonts w:ascii="PingFangSC-Regular" w:hAnsi="PingFangSC-Regular" w:cs="Arial" w:hint="eastAsia"/>
          <w:color w:val="000000"/>
          <w:spacing w:val="18"/>
          <w:sz w:val="26"/>
          <w:szCs w:val="26"/>
        </w:rPr>
      </w:pPr>
      <w:r>
        <w:rPr>
          <w:rFonts w:ascii="PingFangSC-Regular" w:hAnsi="PingFangSC-Regular" w:cs="Arial"/>
          <w:color w:val="000000"/>
          <w:spacing w:val="18"/>
          <w:sz w:val="26"/>
          <w:szCs w:val="26"/>
        </w:rPr>
        <w:t>到</w:t>
      </w:r>
      <w:r>
        <w:rPr>
          <w:rFonts w:ascii="PingFangSC-Regular" w:hAnsi="PingFangSC-Regular" w:cs="Arial"/>
          <w:color w:val="000000"/>
          <w:spacing w:val="18"/>
          <w:sz w:val="26"/>
          <w:szCs w:val="26"/>
        </w:rPr>
        <w:t>2025</w:t>
      </w:r>
      <w:r>
        <w:rPr>
          <w:rFonts w:ascii="PingFangSC-Regular" w:hAnsi="PingFangSC-Regular" w:cs="Arial"/>
          <w:color w:val="000000"/>
          <w:spacing w:val="18"/>
          <w:sz w:val="26"/>
          <w:szCs w:val="26"/>
        </w:rPr>
        <w:t>年，国家重点实验室体系全面建成，科研水平和国际影响力大幅跃升。若干实验室成为世界最重要的科学中心和高水平创新高地，引领基础科学研究发展，持续产出对世界科技发展有重大影响的原创成果，集聚一批具有国际水平的战略科技人才和团队，在相关领域成为解决世界重大科学技术问题的核心创新力量，引领带动经济社会发展的作用不断增强，为建成社会主义现代化国家提供有力支撑。</w:t>
      </w:r>
    </w:p>
    <w:p w:rsidR="00F5417C" w:rsidRDefault="00F5417C" w:rsidP="00F5417C">
      <w:pPr>
        <w:pStyle w:val="speed-page-tts"/>
        <w:spacing w:before="0" w:beforeAutospacing="0" w:after="0" w:afterAutospacing="0"/>
        <w:rPr>
          <w:rFonts w:ascii="PingFangSC-Regular" w:hAnsi="PingFangSC-Regular" w:cs="Arial" w:hint="eastAsia"/>
          <w:color w:val="000000"/>
          <w:spacing w:val="18"/>
          <w:sz w:val="26"/>
          <w:szCs w:val="26"/>
        </w:rPr>
      </w:pPr>
      <w:r>
        <w:rPr>
          <w:rFonts w:ascii="PingFangSC-Regular" w:hAnsi="PingFangSC-Regular" w:cs="Arial"/>
          <w:color w:val="000000"/>
          <w:spacing w:val="18"/>
          <w:sz w:val="26"/>
          <w:szCs w:val="26"/>
        </w:rPr>
        <w:t>二、完善国家重点实验室发展体系</w:t>
      </w:r>
    </w:p>
    <w:p w:rsidR="00F5417C" w:rsidRDefault="00F5417C" w:rsidP="00F5417C">
      <w:pPr>
        <w:pStyle w:val="speed-page-tts"/>
        <w:spacing w:before="0" w:beforeAutospacing="0" w:after="0" w:afterAutospacing="0"/>
        <w:rPr>
          <w:rFonts w:ascii="PingFangSC-Regular" w:hAnsi="PingFangSC-Regular" w:cs="Arial" w:hint="eastAsia"/>
          <w:color w:val="000000"/>
          <w:spacing w:val="18"/>
          <w:sz w:val="26"/>
          <w:szCs w:val="26"/>
        </w:rPr>
      </w:pPr>
      <w:r>
        <w:rPr>
          <w:rFonts w:ascii="PingFangSC-Regular" w:hAnsi="PingFangSC-Regular" w:cs="Arial"/>
          <w:color w:val="000000"/>
          <w:spacing w:val="18"/>
          <w:sz w:val="26"/>
          <w:szCs w:val="26"/>
        </w:rPr>
        <w:t>（四）优化国家重点实验室总体布局。</w:t>
      </w:r>
    </w:p>
    <w:p w:rsidR="00F5417C" w:rsidRDefault="00F5417C" w:rsidP="00F5417C">
      <w:pPr>
        <w:pStyle w:val="speed-page-tts"/>
        <w:spacing w:before="0" w:beforeAutospacing="0" w:after="0" w:afterAutospacing="0"/>
        <w:rPr>
          <w:rFonts w:ascii="PingFangSC-Regular" w:hAnsi="PingFangSC-Regular" w:cs="Arial" w:hint="eastAsia"/>
          <w:color w:val="000000"/>
          <w:spacing w:val="18"/>
          <w:sz w:val="26"/>
          <w:szCs w:val="26"/>
        </w:rPr>
      </w:pPr>
      <w:r>
        <w:rPr>
          <w:rFonts w:ascii="PingFangSC-Regular" w:hAnsi="PingFangSC-Regular" w:cs="Arial"/>
          <w:color w:val="000000"/>
          <w:spacing w:val="18"/>
          <w:sz w:val="26"/>
          <w:szCs w:val="26"/>
        </w:rPr>
        <w:t>明确各类国家重点实验室功能定位，系统布局、重点建设、均衡发展，强化分类管理，加强体系建设和优化布局。推进现有国家重点实验室优化调整，以学科国家重点实验室为重点，积极推进学科交叉国家研究中心建设，统筹企业、省部共建、军民共建和</w:t>
      </w:r>
      <w:r>
        <w:rPr>
          <w:rFonts w:ascii="PingFangSC-Regular" w:hAnsi="PingFangSC-Regular" w:cs="Arial"/>
          <w:color w:val="000000"/>
          <w:spacing w:val="18"/>
          <w:sz w:val="26"/>
          <w:szCs w:val="26"/>
        </w:rPr>
        <w:lastRenderedPageBreak/>
        <w:t>港澳等国家重点实验室建设发展，实现国家重点实验室布局的结构优化、领域优化和区域优化。重点围绕世界科技前沿和国家长远发展，围绕区域创新和行业发展，选择优势单位和团队布局建设，适当向布局较少或尚未布局的地方、行业部门倾斜，加强与国家相关科教计划重点任务布局的衔接，推动实验室聚焦重大科学前沿问题，超前布局可能引发重大变革的基础研究和应用基础研究，聚集一批世界一流领军科学家，产出更多原创理论、做出更多原创发现、开创更多前沿学科，在引领基础研究前沿方向中发挥主导作用。</w:t>
      </w:r>
    </w:p>
    <w:p w:rsidR="00F5417C" w:rsidRDefault="00F5417C" w:rsidP="00F5417C">
      <w:pPr>
        <w:pStyle w:val="speed-page-tts"/>
        <w:spacing w:before="0" w:beforeAutospacing="0" w:after="0" w:afterAutospacing="0"/>
        <w:rPr>
          <w:rFonts w:ascii="PingFangSC-Regular" w:hAnsi="PingFangSC-Regular" w:cs="Arial" w:hint="eastAsia"/>
          <w:color w:val="000000"/>
          <w:spacing w:val="18"/>
          <w:sz w:val="26"/>
          <w:szCs w:val="26"/>
        </w:rPr>
      </w:pPr>
      <w:r>
        <w:rPr>
          <w:rFonts w:ascii="PingFangSC-Regular" w:hAnsi="PingFangSC-Regular" w:cs="Arial"/>
          <w:color w:val="000000"/>
          <w:spacing w:val="18"/>
          <w:sz w:val="26"/>
          <w:szCs w:val="26"/>
        </w:rPr>
        <w:t>（五）重点推进学科国家重点实验室建设发展。</w:t>
      </w:r>
    </w:p>
    <w:p w:rsidR="00F5417C" w:rsidRDefault="00F5417C" w:rsidP="00F5417C">
      <w:pPr>
        <w:pStyle w:val="speed-page-tts"/>
        <w:spacing w:before="0" w:beforeAutospacing="0" w:after="0" w:afterAutospacing="0"/>
        <w:rPr>
          <w:rFonts w:ascii="PingFangSC-Regular" w:hAnsi="PingFangSC-Regular" w:cs="Arial" w:hint="eastAsia"/>
          <w:color w:val="000000"/>
          <w:spacing w:val="18"/>
          <w:sz w:val="26"/>
          <w:szCs w:val="26"/>
        </w:rPr>
      </w:pPr>
      <w:r>
        <w:rPr>
          <w:rFonts w:ascii="PingFangSC-Regular" w:hAnsi="PingFangSC-Regular" w:cs="Arial"/>
          <w:color w:val="000000"/>
          <w:spacing w:val="18"/>
          <w:sz w:val="26"/>
          <w:szCs w:val="26"/>
        </w:rPr>
        <w:t>瞄准世界科技前沿，服务国家重大战略需求，以提升原始创新能力为目标，重点开展基础研究，产出具有国际影响力的重大原创成果。关注国际学科领域发展新动态，遵循科学规律，适时调整实验室研究方向和任务，促进更多优势学科领域实现领跑并跑。对在国际上领跑并跑的实验室加大稳定支持力度，对长期跟跑、多年无重大创新成果的实验室予以优化调整。围绕数学、物理、化学、地学、生物、医学、农学、信息、材料、工程和智能制造等相关领域，在干细胞、合成生物学、园艺生物学、脑科学与类脑、深海深空深地探测、物联网、纳米科技、人工智能、极端制造、森林生态系统、生物安全、全球变化等前沿方向布局建设。</w:t>
      </w:r>
    </w:p>
    <w:p w:rsidR="00F5417C" w:rsidRDefault="00F5417C" w:rsidP="00F5417C">
      <w:pPr>
        <w:pStyle w:val="speed-page-tts"/>
        <w:spacing w:before="0" w:beforeAutospacing="0" w:after="0" w:afterAutospacing="0"/>
        <w:rPr>
          <w:rFonts w:ascii="PingFangSC-Regular" w:hAnsi="PingFangSC-Regular" w:cs="Arial" w:hint="eastAsia"/>
          <w:color w:val="000000"/>
          <w:spacing w:val="18"/>
          <w:sz w:val="26"/>
          <w:szCs w:val="26"/>
        </w:rPr>
      </w:pPr>
      <w:r>
        <w:rPr>
          <w:rFonts w:ascii="PingFangSC-Regular" w:hAnsi="PingFangSC-Regular" w:cs="Arial"/>
          <w:color w:val="000000"/>
          <w:spacing w:val="18"/>
          <w:sz w:val="26"/>
          <w:szCs w:val="26"/>
        </w:rPr>
        <w:t>（六）大力推动企业国家重点实验室建设发展。</w:t>
      </w:r>
    </w:p>
    <w:p w:rsidR="00F5417C" w:rsidRDefault="00F5417C" w:rsidP="00F5417C">
      <w:pPr>
        <w:pStyle w:val="speed-page-tts"/>
        <w:spacing w:before="0" w:beforeAutospacing="0" w:after="0" w:afterAutospacing="0"/>
        <w:rPr>
          <w:rFonts w:ascii="PingFangSC-Regular" w:hAnsi="PingFangSC-Regular" w:cs="Arial" w:hint="eastAsia"/>
          <w:color w:val="000000"/>
          <w:spacing w:val="18"/>
          <w:sz w:val="26"/>
          <w:szCs w:val="26"/>
        </w:rPr>
      </w:pPr>
      <w:r>
        <w:rPr>
          <w:rFonts w:ascii="PingFangSC-Regular" w:hAnsi="PingFangSC-Regular" w:cs="Arial"/>
          <w:color w:val="000000"/>
          <w:spacing w:val="18"/>
          <w:sz w:val="26"/>
          <w:szCs w:val="26"/>
        </w:rPr>
        <w:lastRenderedPageBreak/>
        <w:t>面向战略性新兴产业和行业发展需求，以提升企业自主创新能力和核心竞争力为目标，围绕产业发展共性关键问题，主要开展应用基础研究等。突出需求导向，在高新技术、现代农业、生态环境、社会民生等重点领域布局建设。加强与学科国家重点实验室的交流合作，促进产学研深度融合。强化企业对基础研究的投入，引导部门地方加大对实验室建设发展的支持，落实研究开发费用税前加计扣除、高新技术企业所得税优惠等政策。明确实验室建设标准，加强评估考核，引导企业建立实验室科研成果质量和效益评价机制，为企业创新发展提供动力。</w:t>
      </w:r>
    </w:p>
    <w:p w:rsidR="00F5417C" w:rsidRDefault="00F5417C" w:rsidP="00F5417C">
      <w:pPr>
        <w:pStyle w:val="speed-page-tts"/>
        <w:spacing w:before="0" w:beforeAutospacing="0" w:after="0" w:afterAutospacing="0"/>
        <w:rPr>
          <w:rFonts w:ascii="PingFangSC-Regular" w:hAnsi="PingFangSC-Regular" w:cs="Arial" w:hint="eastAsia"/>
          <w:color w:val="000000"/>
          <w:spacing w:val="18"/>
          <w:sz w:val="26"/>
          <w:szCs w:val="26"/>
        </w:rPr>
      </w:pPr>
      <w:r>
        <w:rPr>
          <w:rFonts w:ascii="PingFangSC-Regular" w:hAnsi="PingFangSC-Regular" w:cs="Arial"/>
          <w:color w:val="000000"/>
          <w:spacing w:val="18"/>
          <w:sz w:val="26"/>
          <w:szCs w:val="26"/>
        </w:rPr>
        <w:t>（七）加大省部共建国家重点实验室建设力度。</w:t>
      </w:r>
    </w:p>
    <w:p w:rsidR="00F5417C" w:rsidRDefault="00F5417C" w:rsidP="00F5417C">
      <w:pPr>
        <w:pStyle w:val="speed-page-tts"/>
        <w:spacing w:before="0" w:beforeAutospacing="0" w:after="0" w:afterAutospacing="0"/>
        <w:rPr>
          <w:rFonts w:ascii="PingFangSC-Regular" w:hAnsi="PingFangSC-Regular" w:cs="Arial" w:hint="eastAsia"/>
          <w:color w:val="000000"/>
          <w:spacing w:val="18"/>
          <w:sz w:val="26"/>
          <w:szCs w:val="26"/>
        </w:rPr>
      </w:pPr>
      <w:r>
        <w:rPr>
          <w:rFonts w:ascii="PingFangSC-Regular" w:hAnsi="PingFangSC-Regular" w:cs="Arial"/>
          <w:color w:val="000000"/>
          <w:spacing w:val="18"/>
          <w:sz w:val="26"/>
          <w:szCs w:val="26"/>
        </w:rPr>
        <w:t>以提升区域创新能力和地方基础研究能力为目标，主要开展具有区域特色的应用基础研究，依托地方所属高等学校和科研院所加快布局建设。创新运行管理机制，坚持省部共建、以省为主的管理模式，加强过程管理与评估考核，按照实验室目标任务执行情况进行动态调整。不断提升实验室科研能力和水平，推动与学科国家重点实验室建立伙伴关系。推动地方政府设立专项经费，在项目、人才团队建设等方面加大对实验室的支持力度。统筹中央与地方相关专项资金等措施支持实验室建设发展。</w:t>
      </w:r>
    </w:p>
    <w:p w:rsidR="00F5417C" w:rsidRDefault="00F5417C" w:rsidP="00F5417C">
      <w:pPr>
        <w:pStyle w:val="speed-page-tts"/>
        <w:spacing w:before="0" w:beforeAutospacing="0" w:after="0" w:afterAutospacing="0"/>
        <w:rPr>
          <w:rFonts w:ascii="PingFangSC-Regular" w:hAnsi="PingFangSC-Regular" w:cs="Arial" w:hint="eastAsia"/>
          <w:color w:val="000000"/>
          <w:spacing w:val="18"/>
          <w:sz w:val="26"/>
          <w:szCs w:val="26"/>
        </w:rPr>
      </w:pPr>
      <w:r>
        <w:rPr>
          <w:rFonts w:ascii="PingFangSC-Regular" w:hAnsi="PingFangSC-Regular" w:cs="Arial"/>
          <w:color w:val="000000"/>
          <w:spacing w:val="18"/>
          <w:sz w:val="26"/>
          <w:szCs w:val="26"/>
        </w:rPr>
        <w:t>（八）组建学科交叉国家研究中心。</w:t>
      </w:r>
    </w:p>
    <w:p w:rsidR="00F5417C" w:rsidRDefault="00F5417C" w:rsidP="00F5417C">
      <w:pPr>
        <w:pStyle w:val="speed-page-tts"/>
        <w:spacing w:before="0" w:beforeAutospacing="0" w:after="0" w:afterAutospacing="0"/>
        <w:rPr>
          <w:rFonts w:ascii="PingFangSC-Regular" w:hAnsi="PingFangSC-Regular" w:cs="Arial" w:hint="eastAsia"/>
          <w:color w:val="000000"/>
          <w:spacing w:val="18"/>
          <w:sz w:val="26"/>
          <w:szCs w:val="26"/>
        </w:rPr>
      </w:pPr>
      <w:r>
        <w:rPr>
          <w:rFonts w:ascii="PingFangSC-Regular" w:hAnsi="PingFangSC-Regular" w:cs="Arial"/>
          <w:color w:val="000000"/>
          <w:spacing w:val="18"/>
          <w:sz w:val="26"/>
          <w:szCs w:val="26"/>
        </w:rPr>
        <w:t>适应大科学时代基础研究特点，加强自然科学与社会科学的融合，聚焦符合科学发展趋势且对未来长远发展产生巨大推动作用的前沿科学问题，聚焦可能形成重大科学技术突破且对经济发展方式</w:t>
      </w:r>
      <w:r>
        <w:rPr>
          <w:rFonts w:ascii="PingFangSC-Regular" w:hAnsi="PingFangSC-Regular" w:cs="Arial"/>
          <w:color w:val="000000"/>
          <w:spacing w:val="18"/>
          <w:sz w:val="26"/>
          <w:szCs w:val="26"/>
        </w:rPr>
        <w:lastRenderedPageBreak/>
        <w:t>产生重大影响的基础科学问题，聚焦学科交叉前沿研究方向，开展前瞻性、战略性、前沿性基础研究。根据世界科技前沿和国家长远发展重大需求，在优势学科群基础上，成熟一个，启动一个。推动体制机制创新，实行主任负责制，强化组建单位法人主体责任，加大中央财政稳定支持力度。</w:t>
      </w:r>
    </w:p>
    <w:p w:rsidR="00F5417C" w:rsidRDefault="00F5417C" w:rsidP="00F5417C">
      <w:pPr>
        <w:pStyle w:val="speed-page-tts"/>
        <w:spacing w:before="0" w:beforeAutospacing="0" w:after="0" w:afterAutospacing="0"/>
        <w:rPr>
          <w:rFonts w:ascii="PingFangSC-Regular" w:hAnsi="PingFangSC-Regular" w:cs="Arial" w:hint="eastAsia"/>
          <w:color w:val="000000"/>
          <w:spacing w:val="18"/>
          <w:sz w:val="26"/>
          <w:szCs w:val="26"/>
        </w:rPr>
      </w:pPr>
      <w:r>
        <w:rPr>
          <w:rFonts w:ascii="PingFangSC-Regular" w:hAnsi="PingFangSC-Regular" w:cs="Arial"/>
          <w:color w:val="000000"/>
          <w:spacing w:val="18"/>
          <w:sz w:val="26"/>
          <w:szCs w:val="26"/>
        </w:rPr>
        <w:t>（九）推动国家重点实验室组建联盟。</w:t>
      </w:r>
    </w:p>
    <w:p w:rsidR="00F5417C" w:rsidRDefault="00F5417C" w:rsidP="00F5417C">
      <w:pPr>
        <w:pStyle w:val="speed-page-tts"/>
        <w:spacing w:before="0" w:beforeAutospacing="0" w:after="0" w:afterAutospacing="0"/>
        <w:rPr>
          <w:rFonts w:ascii="PingFangSC-Regular" w:hAnsi="PingFangSC-Regular" w:cs="Arial" w:hint="eastAsia"/>
          <w:color w:val="000000"/>
          <w:spacing w:val="18"/>
          <w:sz w:val="26"/>
          <w:szCs w:val="26"/>
        </w:rPr>
      </w:pPr>
      <w:r>
        <w:rPr>
          <w:rFonts w:ascii="PingFangSC-Regular" w:hAnsi="PingFangSC-Regular" w:cs="Arial"/>
          <w:color w:val="000000"/>
          <w:spacing w:val="18"/>
          <w:sz w:val="26"/>
          <w:szCs w:val="26"/>
        </w:rPr>
        <w:t>加强引导，推动实验室围绕学科领域、行业发展和区域创新组建实验室联盟，开展共性重大科学问题和战略方向的联合研究，促进协同创新。推动固体地球科学、药学、水科学等领域国家重点实验室联盟发展。围绕京津冀、长江经济带、粤港澳大湾区等区域发展需求，推动实验室联盟建设。鼓励和引导联盟大力支持雄安新区建设发展，支撑北京、上海科技创新中心建设。</w:t>
      </w:r>
    </w:p>
    <w:p w:rsidR="00F5417C" w:rsidRDefault="00F5417C" w:rsidP="00F5417C">
      <w:pPr>
        <w:pStyle w:val="speed-page-tts"/>
        <w:spacing w:before="0" w:beforeAutospacing="0" w:after="0" w:afterAutospacing="0"/>
        <w:rPr>
          <w:rFonts w:ascii="PingFangSC-Regular" w:hAnsi="PingFangSC-Regular" w:cs="Arial" w:hint="eastAsia"/>
          <w:color w:val="000000"/>
          <w:spacing w:val="18"/>
          <w:sz w:val="26"/>
          <w:szCs w:val="26"/>
        </w:rPr>
      </w:pPr>
      <w:r>
        <w:rPr>
          <w:rFonts w:ascii="PingFangSC-Regular" w:hAnsi="PingFangSC-Regular" w:cs="Arial"/>
          <w:color w:val="000000"/>
          <w:spacing w:val="18"/>
          <w:sz w:val="26"/>
          <w:szCs w:val="26"/>
        </w:rPr>
        <w:t>三、提升国家重点实验室创新能力</w:t>
      </w:r>
    </w:p>
    <w:p w:rsidR="00F5417C" w:rsidRDefault="00F5417C" w:rsidP="00F5417C">
      <w:pPr>
        <w:pStyle w:val="speed-page-tts"/>
        <w:spacing w:before="0" w:beforeAutospacing="0" w:after="0" w:afterAutospacing="0"/>
        <w:rPr>
          <w:rFonts w:ascii="PingFangSC-Regular" w:hAnsi="PingFangSC-Regular" w:cs="Arial" w:hint="eastAsia"/>
          <w:color w:val="000000"/>
          <w:spacing w:val="18"/>
          <w:sz w:val="26"/>
          <w:szCs w:val="26"/>
        </w:rPr>
      </w:pPr>
      <w:r>
        <w:rPr>
          <w:rFonts w:ascii="PingFangSC-Regular" w:hAnsi="PingFangSC-Regular" w:cs="Arial"/>
          <w:color w:val="000000"/>
          <w:spacing w:val="18"/>
          <w:sz w:val="26"/>
          <w:szCs w:val="26"/>
        </w:rPr>
        <w:t>（十）培养和聚集高水平人才队伍。</w:t>
      </w:r>
    </w:p>
    <w:p w:rsidR="00F5417C" w:rsidRDefault="00F5417C" w:rsidP="00F5417C">
      <w:pPr>
        <w:pStyle w:val="speed-page-tts"/>
        <w:spacing w:before="0" w:beforeAutospacing="0" w:after="0" w:afterAutospacing="0"/>
        <w:rPr>
          <w:rFonts w:ascii="PingFangSC-Regular" w:hAnsi="PingFangSC-Regular" w:cs="Arial" w:hint="eastAsia"/>
          <w:color w:val="000000"/>
          <w:spacing w:val="18"/>
          <w:sz w:val="26"/>
          <w:szCs w:val="26"/>
        </w:rPr>
      </w:pPr>
      <w:r>
        <w:rPr>
          <w:rFonts w:ascii="PingFangSC-Regular" w:hAnsi="PingFangSC-Regular" w:cs="Arial"/>
          <w:color w:val="000000"/>
          <w:spacing w:val="18"/>
          <w:sz w:val="26"/>
          <w:szCs w:val="26"/>
        </w:rPr>
        <w:t>以提高科技创新活力为核心，推动国家重点实验室建立开放、流动、竞争、协同的用人机制，吸引顶尖人才、培养青年人才、用好现有人才，促进人员合理的双向流动，助推重大成果产出和国际影响力提升。强化对国家重点实验室人才队伍建设的评价，引导出成果、出人才并重，造就一大批具有国际水平的战略科技人才、科技领军人才、青年科技人才，稳定支持优秀创新团队。推动实验室建立完善人才评价与成果、贡献相挂钩的制度，评价考核注重研究成果创新质量、学术贡献和学术影响力。</w:t>
      </w:r>
    </w:p>
    <w:p w:rsidR="00F5417C" w:rsidRDefault="00F5417C" w:rsidP="00F5417C">
      <w:pPr>
        <w:pStyle w:val="speed-page-tts"/>
        <w:spacing w:before="0" w:beforeAutospacing="0" w:after="0" w:afterAutospacing="0"/>
        <w:rPr>
          <w:rFonts w:ascii="PingFangSC-Regular" w:hAnsi="PingFangSC-Regular" w:cs="Arial" w:hint="eastAsia"/>
          <w:color w:val="000000"/>
          <w:spacing w:val="18"/>
          <w:sz w:val="26"/>
          <w:szCs w:val="26"/>
        </w:rPr>
      </w:pPr>
      <w:r>
        <w:rPr>
          <w:rFonts w:ascii="PingFangSC-Regular" w:hAnsi="PingFangSC-Regular" w:cs="Arial"/>
          <w:color w:val="000000"/>
          <w:spacing w:val="18"/>
          <w:sz w:val="26"/>
          <w:szCs w:val="26"/>
        </w:rPr>
        <w:lastRenderedPageBreak/>
        <w:t>（十一）提升国家重点实验室基础设施和装备水平。</w:t>
      </w:r>
    </w:p>
    <w:p w:rsidR="00F5417C" w:rsidRDefault="00F5417C" w:rsidP="00F5417C">
      <w:pPr>
        <w:pStyle w:val="speed-page-tts"/>
        <w:spacing w:before="0" w:beforeAutospacing="0" w:after="0" w:afterAutospacing="0"/>
        <w:rPr>
          <w:rFonts w:ascii="PingFangSC-Regular" w:hAnsi="PingFangSC-Regular" w:cs="Arial" w:hint="eastAsia"/>
          <w:color w:val="000000"/>
          <w:spacing w:val="18"/>
          <w:sz w:val="26"/>
          <w:szCs w:val="26"/>
        </w:rPr>
      </w:pPr>
      <w:r>
        <w:rPr>
          <w:rFonts w:ascii="PingFangSC-Regular" w:hAnsi="PingFangSC-Regular" w:cs="Arial"/>
          <w:color w:val="000000"/>
          <w:spacing w:val="18"/>
          <w:sz w:val="26"/>
          <w:szCs w:val="26"/>
        </w:rPr>
        <w:t>应对基础研究和应用基础研究不断深化和学科交叉的大趋势，推动实验室围绕研究方向，科学合理地进行原有实验研究硬件资源整合和配置，积极开拓仪器设施的功能和推动极限研究手段突破，搭建具有世界一流水平的公共实验研究平台。加强实验室公共实验研究平台能力建设和管理水平提升，为突破科学前沿、实现技术变革提供充分的物质基础保障。</w:t>
      </w:r>
    </w:p>
    <w:p w:rsidR="00F5417C" w:rsidRDefault="00F5417C" w:rsidP="00F5417C">
      <w:pPr>
        <w:pStyle w:val="speed-page-tts"/>
        <w:spacing w:before="0" w:beforeAutospacing="0" w:after="0" w:afterAutospacing="0"/>
        <w:rPr>
          <w:rFonts w:ascii="PingFangSC-Regular" w:hAnsi="PingFangSC-Regular" w:cs="Arial" w:hint="eastAsia"/>
          <w:color w:val="000000"/>
          <w:spacing w:val="18"/>
          <w:sz w:val="26"/>
          <w:szCs w:val="26"/>
        </w:rPr>
      </w:pPr>
      <w:r>
        <w:rPr>
          <w:rFonts w:ascii="PingFangSC-Regular" w:hAnsi="PingFangSC-Regular" w:cs="Arial"/>
          <w:color w:val="000000"/>
          <w:spacing w:val="18"/>
          <w:sz w:val="26"/>
          <w:szCs w:val="26"/>
        </w:rPr>
        <w:t>（十二）扩大国家重点实验室开放力度。</w:t>
      </w:r>
    </w:p>
    <w:p w:rsidR="00F5417C" w:rsidRDefault="00F5417C" w:rsidP="00F5417C">
      <w:pPr>
        <w:pStyle w:val="speed-page-tts"/>
        <w:spacing w:before="0" w:beforeAutospacing="0" w:after="0" w:afterAutospacing="0"/>
        <w:rPr>
          <w:rFonts w:ascii="PingFangSC-Regular" w:hAnsi="PingFangSC-Regular" w:cs="Arial" w:hint="eastAsia"/>
          <w:color w:val="000000"/>
          <w:spacing w:val="18"/>
          <w:sz w:val="26"/>
          <w:szCs w:val="26"/>
        </w:rPr>
      </w:pPr>
      <w:r>
        <w:rPr>
          <w:rFonts w:ascii="PingFangSC-Regular" w:hAnsi="PingFangSC-Regular" w:cs="Arial"/>
          <w:color w:val="000000"/>
          <w:spacing w:val="18"/>
          <w:sz w:val="26"/>
          <w:szCs w:val="26"/>
        </w:rPr>
        <w:t>深化实验室</w:t>
      </w:r>
      <w:r>
        <w:rPr>
          <w:rFonts w:ascii="PingFangSC-Regular" w:hAnsi="PingFangSC-Regular" w:cs="Arial"/>
          <w:color w:val="000000"/>
          <w:spacing w:val="18"/>
          <w:sz w:val="26"/>
          <w:szCs w:val="26"/>
        </w:rPr>
        <w:t>“</w:t>
      </w:r>
      <w:r>
        <w:rPr>
          <w:rFonts w:ascii="PingFangSC-Regular" w:hAnsi="PingFangSC-Regular" w:cs="Arial"/>
          <w:color w:val="000000"/>
          <w:spacing w:val="18"/>
          <w:sz w:val="26"/>
          <w:szCs w:val="26"/>
        </w:rPr>
        <w:t>物</w:t>
      </w:r>
      <w:r>
        <w:rPr>
          <w:rFonts w:ascii="PingFangSC-Regular" w:hAnsi="PingFangSC-Regular" w:cs="Arial"/>
          <w:color w:val="000000"/>
          <w:spacing w:val="18"/>
          <w:sz w:val="26"/>
          <w:szCs w:val="26"/>
        </w:rPr>
        <w:t>”</w:t>
      </w:r>
      <w:r>
        <w:rPr>
          <w:rFonts w:ascii="PingFangSC-Regular" w:hAnsi="PingFangSC-Regular" w:cs="Arial"/>
          <w:color w:val="000000"/>
          <w:spacing w:val="18"/>
          <w:sz w:val="26"/>
          <w:szCs w:val="26"/>
        </w:rPr>
        <w:t>与</w:t>
      </w:r>
      <w:r>
        <w:rPr>
          <w:rFonts w:ascii="PingFangSC-Regular" w:hAnsi="PingFangSC-Regular" w:cs="Arial"/>
          <w:color w:val="000000"/>
          <w:spacing w:val="18"/>
          <w:sz w:val="26"/>
          <w:szCs w:val="26"/>
        </w:rPr>
        <w:t>“</w:t>
      </w:r>
      <w:r>
        <w:rPr>
          <w:rFonts w:ascii="PingFangSC-Regular" w:hAnsi="PingFangSC-Regular" w:cs="Arial"/>
          <w:color w:val="000000"/>
          <w:spacing w:val="18"/>
          <w:sz w:val="26"/>
          <w:szCs w:val="26"/>
        </w:rPr>
        <w:t>人</w:t>
      </w:r>
      <w:r>
        <w:rPr>
          <w:rFonts w:ascii="PingFangSC-Regular" w:hAnsi="PingFangSC-Regular" w:cs="Arial"/>
          <w:color w:val="000000"/>
          <w:spacing w:val="18"/>
          <w:sz w:val="26"/>
          <w:szCs w:val="26"/>
        </w:rPr>
        <w:t>”</w:t>
      </w:r>
      <w:r>
        <w:rPr>
          <w:rFonts w:ascii="PingFangSC-Regular" w:hAnsi="PingFangSC-Regular" w:cs="Arial"/>
          <w:color w:val="000000"/>
          <w:spacing w:val="18"/>
          <w:sz w:val="26"/>
          <w:szCs w:val="26"/>
        </w:rPr>
        <w:t>等资源开放共享的广度和深度，提升实验室认可度。按照《国家科技资源共享服务平台管理办法》的要求，推动实验室仪器设备、重大科研数据等科技资源开放共享，探索开展基础研究众包众筹众创，将开放服务满意度和普及度作为实验室年度考核和定期评估的重要指标。加强实验室技术人员培养，为科研活动提供规范化、专业化公共技术服务。推动实验室建立固定与流动相结合的聘用制度，设置一定数量流动岗位，吸引本学科领域国际顶尖人才共同开展联合研究。调动青年人才创新积极性，为他们提供由骨干研究人员辅导开展阶段性研究的便利条件。</w:t>
      </w:r>
    </w:p>
    <w:p w:rsidR="00F5417C" w:rsidRDefault="00F5417C" w:rsidP="00F5417C">
      <w:pPr>
        <w:pStyle w:val="speed-page-tts"/>
        <w:spacing w:before="0" w:beforeAutospacing="0" w:after="0" w:afterAutospacing="0"/>
        <w:rPr>
          <w:rFonts w:ascii="PingFangSC-Regular" w:hAnsi="PingFangSC-Regular" w:cs="Arial" w:hint="eastAsia"/>
          <w:color w:val="000000"/>
          <w:spacing w:val="18"/>
          <w:sz w:val="26"/>
          <w:szCs w:val="26"/>
        </w:rPr>
      </w:pPr>
      <w:r>
        <w:rPr>
          <w:rFonts w:ascii="PingFangSC-Regular" w:hAnsi="PingFangSC-Regular" w:cs="Arial"/>
          <w:color w:val="000000"/>
          <w:spacing w:val="18"/>
          <w:sz w:val="26"/>
          <w:szCs w:val="26"/>
        </w:rPr>
        <w:t>（十三）加强国家重点实验室国际合作与交流。</w:t>
      </w:r>
    </w:p>
    <w:p w:rsidR="00F5417C" w:rsidRDefault="00F5417C" w:rsidP="00F5417C">
      <w:pPr>
        <w:pStyle w:val="speed-page-tts"/>
        <w:spacing w:before="0" w:beforeAutospacing="0" w:after="0" w:afterAutospacing="0"/>
        <w:rPr>
          <w:rFonts w:ascii="PingFangSC-Regular" w:hAnsi="PingFangSC-Regular" w:cs="Arial" w:hint="eastAsia"/>
          <w:color w:val="000000"/>
          <w:spacing w:val="18"/>
          <w:sz w:val="26"/>
          <w:szCs w:val="26"/>
        </w:rPr>
      </w:pPr>
      <w:r>
        <w:rPr>
          <w:rFonts w:ascii="PingFangSC-Regular" w:hAnsi="PingFangSC-Regular" w:cs="Arial"/>
          <w:color w:val="000000"/>
          <w:spacing w:val="18"/>
          <w:sz w:val="26"/>
          <w:szCs w:val="26"/>
        </w:rPr>
        <w:t>健全国际科技合作机制，深化与国际一流科研机构的交流与合作。根据国家发展战略需求，支持实验室开展目标导向的国际科技合作，积极参与或主导国际大科学计划和工程，牵头承担国际科技</w:t>
      </w:r>
      <w:r>
        <w:rPr>
          <w:rFonts w:ascii="PingFangSC-Regular" w:hAnsi="PingFangSC-Regular" w:cs="Arial"/>
          <w:color w:val="000000"/>
          <w:spacing w:val="18"/>
          <w:sz w:val="26"/>
          <w:szCs w:val="26"/>
        </w:rPr>
        <w:lastRenderedPageBreak/>
        <w:t>创新合作专项项目。落实</w:t>
      </w:r>
      <w:r>
        <w:rPr>
          <w:rFonts w:ascii="PingFangSC-Regular" w:hAnsi="PingFangSC-Regular" w:cs="Arial"/>
          <w:color w:val="000000"/>
          <w:spacing w:val="18"/>
          <w:sz w:val="26"/>
          <w:szCs w:val="26"/>
        </w:rPr>
        <w:t>“</w:t>
      </w:r>
      <w:r>
        <w:rPr>
          <w:rFonts w:ascii="PingFangSC-Regular" w:hAnsi="PingFangSC-Regular" w:cs="Arial"/>
          <w:color w:val="000000"/>
          <w:spacing w:val="18"/>
          <w:sz w:val="26"/>
          <w:szCs w:val="26"/>
        </w:rPr>
        <w:t>一带一路</w:t>
      </w:r>
      <w:r>
        <w:rPr>
          <w:rFonts w:ascii="PingFangSC-Regular" w:hAnsi="PingFangSC-Regular" w:cs="Arial"/>
          <w:color w:val="000000"/>
          <w:spacing w:val="18"/>
          <w:sz w:val="26"/>
          <w:szCs w:val="26"/>
        </w:rPr>
        <w:t>”</w:t>
      </w:r>
      <w:r>
        <w:rPr>
          <w:rFonts w:ascii="PingFangSC-Regular" w:hAnsi="PingFangSC-Regular" w:cs="Arial"/>
          <w:color w:val="000000"/>
          <w:spacing w:val="18"/>
          <w:sz w:val="26"/>
          <w:szCs w:val="26"/>
        </w:rPr>
        <w:t>科技创新合作倡议，推动有条件的实验室共建</w:t>
      </w:r>
      <w:r>
        <w:rPr>
          <w:rFonts w:ascii="PingFangSC-Regular" w:hAnsi="PingFangSC-Regular" w:cs="Arial"/>
          <w:color w:val="000000"/>
          <w:spacing w:val="18"/>
          <w:sz w:val="26"/>
          <w:szCs w:val="26"/>
        </w:rPr>
        <w:t>“</w:t>
      </w:r>
      <w:r>
        <w:rPr>
          <w:rFonts w:ascii="PingFangSC-Regular" w:hAnsi="PingFangSC-Regular" w:cs="Arial"/>
          <w:color w:val="000000"/>
          <w:spacing w:val="18"/>
          <w:sz w:val="26"/>
          <w:szCs w:val="26"/>
        </w:rPr>
        <w:t>一带一路</w:t>
      </w:r>
      <w:r>
        <w:rPr>
          <w:rFonts w:ascii="PingFangSC-Regular" w:hAnsi="PingFangSC-Regular" w:cs="Arial"/>
          <w:color w:val="000000"/>
          <w:spacing w:val="18"/>
          <w:sz w:val="26"/>
          <w:szCs w:val="26"/>
        </w:rPr>
        <w:t>”</w:t>
      </w:r>
      <w:r>
        <w:rPr>
          <w:rFonts w:ascii="PingFangSC-Regular" w:hAnsi="PingFangSC-Regular" w:cs="Arial"/>
          <w:color w:val="000000"/>
          <w:spacing w:val="18"/>
          <w:sz w:val="26"/>
          <w:szCs w:val="26"/>
        </w:rPr>
        <w:t>联合实验室，开展合作研究、人才培养和科技人文交流等工作。</w:t>
      </w:r>
    </w:p>
    <w:p w:rsidR="00F5417C" w:rsidRDefault="00F5417C" w:rsidP="00F5417C">
      <w:pPr>
        <w:pStyle w:val="speed-page-tts"/>
        <w:spacing w:before="0" w:beforeAutospacing="0" w:after="0" w:afterAutospacing="0"/>
        <w:rPr>
          <w:rFonts w:ascii="PingFangSC-Regular" w:hAnsi="PingFangSC-Regular" w:cs="Arial" w:hint="eastAsia"/>
          <w:color w:val="000000"/>
          <w:spacing w:val="18"/>
          <w:sz w:val="26"/>
          <w:szCs w:val="26"/>
        </w:rPr>
      </w:pPr>
      <w:r>
        <w:rPr>
          <w:rFonts w:ascii="PingFangSC-Regular" w:hAnsi="PingFangSC-Regular" w:cs="Arial"/>
          <w:color w:val="000000"/>
          <w:spacing w:val="18"/>
          <w:sz w:val="26"/>
          <w:szCs w:val="26"/>
        </w:rPr>
        <w:t>（十四）提升国家重点实验室影响力。</w:t>
      </w:r>
    </w:p>
    <w:p w:rsidR="00F5417C" w:rsidRDefault="00F5417C" w:rsidP="00F5417C">
      <w:pPr>
        <w:pStyle w:val="speed-page-tts"/>
        <w:spacing w:before="0" w:beforeAutospacing="0" w:after="0" w:afterAutospacing="0"/>
        <w:rPr>
          <w:rFonts w:ascii="PingFangSC-Regular" w:hAnsi="PingFangSC-Regular" w:cs="Arial" w:hint="eastAsia"/>
          <w:color w:val="000000"/>
          <w:spacing w:val="18"/>
          <w:sz w:val="26"/>
          <w:szCs w:val="26"/>
        </w:rPr>
      </w:pPr>
      <w:r>
        <w:rPr>
          <w:rFonts w:ascii="PingFangSC-Regular" w:hAnsi="PingFangSC-Regular" w:cs="Arial"/>
          <w:color w:val="000000"/>
          <w:spacing w:val="18"/>
          <w:sz w:val="26"/>
          <w:szCs w:val="26"/>
        </w:rPr>
        <w:t>充分发挥实验室品牌效应，鼓励实验室在加强自身建设、提高核心竞争力的同时，进一步发挥引领带动作用，不断增强在学科、领域和行业产业中的美誉度与影响力。鼓励实验室与学会、协会保持密切联系和沟通。积极支持实验室开展科普工作，按有关规定向社会开放。鼓励实验室创办国际知名期刊。大力倡导和支持实验室参与国际学术交流活动，支持和推荐更多人员到有影响力的国际科技组织和国际重要期刊应聘任职，推进任职高端化。将实验室打造成为具有国际影响力的学术创新中心、人才培育中心、学科引领中心、科学知识传播普及和成果转移中心。</w:t>
      </w:r>
    </w:p>
    <w:p w:rsidR="00F5417C" w:rsidRDefault="00F5417C" w:rsidP="00F5417C">
      <w:pPr>
        <w:pStyle w:val="speed-page-tts"/>
        <w:spacing w:before="0" w:beforeAutospacing="0" w:after="0" w:afterAutospacing="0"/>
        <w:rPr>
          <w:rFonts w:ascii="PingFangSC-Regular" w:hAnsi="PingFangSC-Regular" w:cs="Arial" w:hint="eastAsia"/>
          <w:color w:val="000000"/>
          <w:spacing w:val="18"/>
          <w:sz w:val="26"/>
          <w:szCs w:val="26"/>
        </w:rPr>
      </w:pPr>
      <w:r>
        <w:rPr>
          <w:rFonts w:ascii="PingFangSC-Regular" w:hAnsi="PingFangSC-Regular" w:cs="Arial"/>
          <w:color w:val="000000"/>
          <w:spacing w:val="18"/>
          <w:sz w:val="26"/>
          <w:szCs w:val="26"/>
        </w:rPr>
        <w:t>四、加强国家重点实验室管理创新</w:t>
      </w:r>
    </w:p>
    <w:p w:rsidR="00F5417C" w:rsidRDefault="00F5417C" w:rsidP="00F5417C">
      <w:pPr>
        <w:pStyle w:val="speed-page-tts"/>
        <w:spacing w:before="0" w:beforeAutospacing="0" w:after="0" w:afterAutospacing="0"/>
        <w:rPr>
          <w:rFonts w:ascii="PingFangSC-Regular" w:hAnsi="PingFangSC-Regular" w:cs="Arial" w:hint="eastAsia"/>
          <w:color w:val="000000"/>
          <w:spacing w:val="18"/>
          <w:sz w:val="26"/>
          <w:szCs w:val="26"/>
        </w:rPr>
      </w:pPr>
      <w:r>
        <w:rPr>
          <w:rFonts w:ascii="PingFangSC-Regular" w:hAnsi="PingFangSC-Regular" w:cs="Arial"/>
          <w:color w:val="000000"/>
          <w:spacing w:val="18"/>
          <w:sz w:val="26"/>
          <w:szCs w:val="26"/>
        </w:rPr>
        <w:t>（十五）加强统筹协调和组织实施。</w:t>
      </w:r>
    </w:p>
    <w:p w:rsidR="00F5417C" w:rsidRDefault="00F5417C" w:rsidP="00F5417C">
      <w:pPr>
        <w:pStyle w:val="speed-page-tts"/>
        <w:spacing w:before="0" w:beforeAutospacing="0" w:after="0" w:afterAutospacing="0"/>
        <w:rPr>
          <w:rFonts w:ascii="PingFangSC-Regular" w:hAnsi="PingFangSC-Regular" w:cs="Arial" w:hint="eastAsia"/>
          <w:color w:val="000000"/>
          <w:spacing w:val="18"/>
          <w:sz w:val="26"/>
          <w:szCs w:val="26"/>
        </w:rPr>
      </w:pPr>
      <w:r>
        <w:rPr>
          <w:rFonts w:ascii="PingFangSC-Regular" w:hAnsi="PingFangSC-Regular" w:cs="Arial"/>
          <w:color w:val="000000"/>
          <w:spacing w:val="18"/>
          <w:sz w:val="26"/>
          <w:szCs w:val="26"/>
        </w:rPr>
        <w:t>按照国家重点实验室建设总体布局，推动部门地方将实验室建设作为一项重要工作纳入本部门本地区科技创新体系，进一步提升创新保障能力，把经费、人员、条件保障等方面的支持落到实处。建立国家和部门地方联动机制，形成多层次推动实验室建设发展的工作格局，国家将加强对部门地方实验室建设工作的指导和支持，实现国家重点实验室与部门地方实验室的协同发展，促进资源开放共享和信息互联互通。</w:t>
      </w:r>
    </w:p>
    <w:p w:rsidR="00F5417C" w:rsidRDefault="00F5417C" w:rsidP="00F5417C">
      <w:pPr>
        <w:pStyle w:val="speed-page-tts"/>
        <w:spacing w:before="0" w:beforeAutospacing="0" w:after="0" w:afterAutospacing="0"/>
        <w:rPr>
          <w:rFonts w:ascii="PingFangSC-Regular" w:hAnsi="PingFangSC-Regular" w:cs="Arial" w:hint="eastAsia"/>
          <w:color w:val="000000"/>
          <w:spacing w:val="18"/>
          <w:sz w:val="26"/>
          <w:szCs w:val="26"/>
        </w:rPr>
      </w:pPr>
      <w:r>
        <w:rPr>
          <w:rFonts w:ascii="PingFangSC-Regular" w:hAnsi="PingFangSC-Regular" w:cs="Arial"/>
          <w:color w:val="000000"/>
          <w:spacing w:val="18"/>
          <w:sz w:val="26"/>
          <w:szCs w:val="26"/>
        </w:rPr>
        <w:lastRenderedPageBreak/>
        <w:t>（十六）强化依托单位法人主体责任。</w:t>
      </w:r>
    </w:p>
    <w:p w:rsidR="00F5417C" w:rsidRDefault="00F5417C" w:rsidP="00F5417C">
      <w:pPr>
        <w:pStyle w:val="speed-page-tts"/>
        <w:spacing w:before="0" w:beforeAutospacing="0" w:after="0" w:afterAutospacing="0"/>
        <w:rPr>
          <w:rFonts w:ascii="PingFangSC-Regular" w:hAnsi="PingFangSC-Regular" w:cs="Arial" w:hint="eastAsia"/>
          <w:color w:val="000000"/>
          <w:spacing w:val="18"/>
          <w:sz w:val="26"/>
          <w:szCs w:val="26"/>
        </w:rPr>
      </w:pPr>
      <w:r>
        <w:rPr>
          <w:rFonts w:ascii="PingFangSC-Regular" w:hAnsi="PingFangSC-Regular" w:cs="Arial"/>
          <w:color w:val="000000"/>
          <w:spacing w:val="18"/>
          <w:sz w:val="26"/>
          <w:szCs w:val="26"/>
        </w:rPr>
        <w:t>国家重点实验室依托单位应将实验室作为本单位的</w:t>
      </w:r>
      <w:r>
        <w:rPr>
          <w:rFonts w:ascii="PingFangSC-Regular" w:hAnsi="PingFangSC-Regular" w:cs="Arial"/>
          <w:color w:val="000000"/>
          <w:spacing w:val="18"/>
          <w:sz w:val="26"/>
          <w:szCs w:val="26"/>
        </w:rPr>
        <w:t>“</w:t>
      </w:r>
      <w:r>
        <w:rPr>
          <w:rFonts w:ascii="PingFangSC-Regular" w:hAnsi="PingFangSC-Regular" w:cs="Arial"/>
          <w:color w:val="000000"/>
          <w:spacing w:val="18"/>
          <w:sz w:val="26"/>
          <w:szCs w:val="26"/>
        </w:rPr>
        <w:t>政策高地</w:t>
      </w:r>
      <w:r>
        <w:rPr>
          <w:rFonts w:ascii="PingFangSC-Regular" w:hAnsi="PingFangSC-Regular" w:cs="Arial"/>
          <w:color w:val="000000"/>
          <w:spacing w:val="18"/>
          <w:sz w:val="26"/>
          <w:szCs w:val="26"/>
        </w:rPr>
        <w:t>”</w:t>
      </w:r>
      <w:r>
        <w:rPr>
          <w:rFonts w:ascii="PingFangSC-Regular" w:hAnsi="PingFangSC-Regular" w:cs="Arial"/>
          <w:color w:val="000000"/>
          <w:spacing w:val="18"/>
          <w:sz w:val="26"/>
          <w:szCs w:val="26"/>
        </w:rPr>
        <w:t>，在物理空间、科研仪器和实验设施平台搭建、人员聘用、研究生指标、经费使用等方面给予必要的条件保障和倾斜。实行实验室主任负责制，赋予实验室选人用人、科研课题设定自主权。创造科学家、研究团队和青年人才拎包入驻的环境和条件。建立一流的科研专业服务团队，为科学家开展研究提供全方位支撑。</w:t>
      </w:r>
    </w:p>
    <w:p w:rsidR="00F5417C" w:rsidRDefault="00F5417C" w:rsidP="00F5417C">
      <w:pPr>
        <w:pStyle w:val="speed-page-tts"/>
        <w:spacing w:before="0" w:beforeAutospacing="0" w:after="0" w:afterAutospacing="0"/>
        <w:rPr>
          <w:rFonts w:ascii="PingFangSC-Regular" w:hAnsi="PingFangSC-Regular" w:cs="Arial" w:hint="eastAsia"/>
          <w:color w:val="000000"/>
          <w:spacing w:val="18"/>
          <w:sz w:val="26"/>
          <w:szCs w:val="26"/>
        </w:rPr>
      </w:pPr>
      <w:r>
        <w:rPr>
          <w:rFonts w:ascii="PingFangSC-Regular" w:hAnsi="PingFangSC-Regular" w:cs="Arial"/>
          <w:color w:val="000000"/>
          <w:spacing w:val="18"/>
          <w:sz w:val="26"/>
          <w:szCs w:val="26"/>
        </w:rPr>
        <w:t>（十七）加强多元投入，完善资源配置。</w:t>
      </w:r>
    </w:p>
    <w:p w:rsidR="00F5417C" w:rsidRDefault="00F5417C" w:rsidP="00F5417C">
      <w:pPr>
        <w:pStyle w:val="speed-page-tts"/>
        <w:spacing w:before="0" w:beforeAutospacing="0" w:after="0" w:afterAutospacing="0"/>
        <w:rPr>
          <w:rFonts w:ascii="PingFangSC-Regular" w:hAnsi="PingFangSC-Regular" w:cs="Arial" w:hint="eastAsia"/>
          <w:color w:val="000000"/>
          <w:spacing w:val="18"/>
          <w:sz w:val="26"/>
          <w:szCs w:val="26"/>
        </w:rPr>
      </w:pPr>
      <w:r>
        <w:rPr>
          <w:rFonts w:ascii="PingFangSC-Regular" w:hAnsi="PingFangSC-Regular" w:cs="Arial"/>
          <w:color w:val="000000"/>
          <w:spacing w:val="18"/>
          <w:sz w:val="26"/>
          <w:szCs w:val="26"/>
        </w:rPr>
        <w:t>进一步完善分类支持方式和稳定支持机制，加大绩效考核和财政支持的衔接。本着</w:t>
      </w:r>
      <w:r>
        <w:rPr>
          <w:rFonts w:ascii="PingFangSC-Regular" w:hAnsi="PingFangSC-Regular" w:cs="Arial"/>
          <w:color w:val="000000"/>
          <w:spacing w:val="18"/>
          <w:sz w:val="26"/>
          <w:szCs w:val="26"/>
        </w:rPr>
        <w:t>“</w:t>
      </w:r>
      <w:r>
        <w:rPr>
          <w:rFonts w:ascii="PingFangSC-Regular" w:hAnsi="PingFangSC-Regular" w:cs="Arial"/>
          <w:color w:val="000000"/>
          <w:spacing w:val="18"/>
          <w:sz w:val="26"/>
          <w:szCs w:val="26"/>
        </w:rPr>
        <w:t>保重点，补短板、分类支持、注重绩效</w:t>
      </w:r>
      <w:r>
        <w:rPr>
          <w:rFonts w:ascii="PingFangSC-Regular" w:hAnsi="PingFangSC-Regular" w:cs="Arial"/>
          <w:color w:val="000000"/>
          <w:spacing w:val="18"/>
          <w:sz w:val="26"/>
          <w:szCs w:val="26"/>
        </w:rPr>
        <w:t>”</w:t>
      </w:r>
      <w:r>
        <w:rPr>
          <w:rFonts w:ascii="PingFangSC-Regular" w:hAnsi="PingFangSC-Regular" w:cs="Arial"/>
          <w:color w:val="000000"/>
          <w:spacing w:val="18"/>
          <w:sz w:val="26"/>
          <w:szCs w:val="26"/>
        </w:rPr>
        <w:t>的原则，中央财政稳定支持国家研究中心和学科等国家重点实验室的运行和能力建设。积极鼓励国家研究中心和学科国家重点实验室牵头承担国家重大研发任务。坚持多元化投入，推动实验室依托单位、主管部门和地方政府加大对实验室建设发展投入力度。通过政府引导、税收杠杆方式，激励企业和社会力量加大基础研究投入。</w:t>
      </w:r>
    </w:p>
    <w:p w:rsidR="00F5417C" w:rsidRDefault="00F5417C" w:rsidP="00F5417C">
      <w:pPr>
        <w:pStyle w:val="speed-page-tts"/>
        <w:spacing w:before="0" w:beforeAutospacing="0" w:after="0" w:afterAutospacing="0"/>
        <w:rPr>
          <w:rFonts w:ascii="PingFangSC-Regular" w:hAnsi="PingFangSC-Regular" w:cs="Arial" w:hint="eastAsia"/>
          <w:color w:val="000000"/>
          <w:spacing w:val="18"/>
          <w:sz w:val="26"/>
          <w:szCs w:val="26"/>
        </w:rPr>
      </w:pPr>
      <w:r>
        <w:rPr>
          <w:rFonts w:ascii="PingFangSC-Regular" w:hAnsi="PingFangSC-Regular" w:cs="Arial"/>
          <w:color w:val="000000"/>
          <w:spacing w:val="18"/>
          <w:sz w:val="26"/>
          <w:szCs w:val="26"/>
        </w:rPr>
        <w:t>（十八）加强国家重点实验室制度建设和分类管理。</w:t>
      </w:r>
    </w:p>
    <w:p w:rsidR="00F5417C" w:rsidRDefault="00F5417C" w:rsidP="00F5417C">
      <w:pPr>
        <w:pStyle w:val="speed-page-tts"/>
        <w:spacing w:before="0" w:beforeAutospacing="0" w:after="0" w:afterAutospacing="0"/>
        <w:rPr>
          <w:rFonts w:ascii="PingFangSC-Regular" w:hAnsi="PingFangSC-Regular" w:cs="Arial" w:hint="eastAsia"/>
          <w:color w:val="000000"/>
          <w:spacing w:val="18"/>
          <w:sz w:val="26"/>
          <w:szCs w:val="26"/>
        </w:rPr>
      </w:pPr>
      <w:r>
        <w:rPr>
          <w:rFonts w:ascii="PingFangSC-Regular" w:hAnsi="PingFangSC-Regular" w:cs="Arial"/>
          <w:color w:val="000000"/>
          <w:spacing w:val="18"/>
          <w:sz w:val="26"/>
          <w:szCs w:val="26"/>
        </w:rPr>
        <w:t>按照各类国家重点实验室的定位、目标和任务，制定建设运行实施方案。按照科技计划管理改革要求，创新管理模式，加强分类管理和分类评估考核，制定修订适合各类国家重点实验室管理特点的办法。加强省部共建等实验室共建共管的制度探索，明晰管理职责，调动实验室相关主管部门和地方政府的积极性。</w:t>
      </w:r>
    </w:p>
    <w:p w:rsidR="00F5417C" w:rsidRDefault="00F5417C" w:rsidP="00F5417C">
      <w:pPr>
        <w:pStyle w:val="speed-page-tts"/>
        <w:spacing w:before="0" w:beforeAutospacing="0" w:after="0" w:afterAutospacing="0"/>
        <w:rPr>
          <w:rFonts w:ascii="PingFangSC-Regular" w:hAnsi="PingFangSC-Regular" w:cs="Arial" w:hint="eastAsia"/>
          <w:color w:val="000000"/>
          <w:spacing w:val="18"/>
          <w:sz w:val="26"/>
          <w:szCs w:val="26"/>
        </w:rPr>
      </w:pPr>
      <w:r>
        <w:rPr>
          <w:rFonts w:ascii="PingFangSC-Regular" w:hAnsi="PingFangSC-Regular" w:cs="Arial"/>
          <w:color w:val="000000"/>
          <w:spacing w:val="18"/>
          <w:sz w:val="26"/>
          <w:szCs w:val="26"/>
        </w:rPr>
        <w:lastRenderedPageBreak/>
        <w:t>（十九）建立完善符合基础研究特点和规律的评价机制。</w:t>
      </w:r>
    </w:p>
    <w:p w:rsidR="00F5417C" w:rsidRDefault="00F5417C" w:rsidP="00F5417C">
      <w:pPr>
        <w:pStyle w:val="speed-page-tts"/>
        <w:spacing w:before="0" w:beforeAutospacing="0" w:after="0" w:afterAutospacing="0"/>
        <w:rPr>
          <w:rFonts w:ascii="PingFangSC-Regular" w:hAnsi="PingFangSC-Regular" w:cs="Arial" w:hint="eastAsia"/>
          <w:color w:val="000000"/>
          <w:spacing w:val="18"/>
          <w:sz w:val="26"/>
          <w:szCs w:val="26"/>
        </w:rPr>
      </w:pPr>
      <w:r>
        <w:rPr>
          <w:rFonts w:ascii="PingFangSC-Regular" w:hAnsi="PingFangSC-Regular" w:cs="Arial"/>
          <w:color w:val="000000"/>
          <w:spacing w:val="18"/>
          <w:sz w:val="26"/>
          <w:szCs w:val="26"/>
        </w:rPr>
        <w:t>坚持定期评估考核制度，建立与实验室发展目标相一致的评估考核指标体系和以创新质量和学术贡献为核心的评价机制。完善第三方评估，探索国际同行专业化评价，强化实验室学术竞争力的国际比对和实验室任务完成情况定性与定量相结合的综合评价，引导实验室在学科目标上更加聚焦原始创新，促使更多实验室不断成为领跑者和并跑者，增强国际影响力，实现国家重点实验室的优化调整、良性循环。</w:t>
      </w:r>
    </w:p>
    <w:p w:rsidR="00F5417C" w:rsidRDefault="00F5417C" w:rsidP="00F5417C">
      <w:pPr>
        <w:pStyle w:val="speed-page-tts"/>
        <w:spacing w:before="0" w:beforeAutospacing="0" w:after="0" w:afterAutospacing="0"/>
        <w:rPr>
          <w:rFonts w:ascii="PingFangSC-Regular" w:hAnsi="PingFangSC-Regular" w:cs="Arial" w:hint="eastAsia"/>
          <w:color w:val="000000"/>
          <w:spacing w:val="18"/>
          <w:sz w:val="26"/>
          <w:szCs w:val="26"/>
        </w:rPr>
      </w:pPr>
      <w:r>
        <w:rPr>
          <w:rFonts w:ascii="PingFangSC-Regular" w:hAnsi="PingFangSC-Regular" w:cs="Arial"/>
          <w:color w:val="000000"/>
          <w:spacing w:val="18"/>
          <w:sz w:val="26"/>
          <w:szCs w:val="26"/>
        </w:rPr>
        <w:t>（二十）营造国家重点实验室创新文化。</w:t>
      </w:r>
    </w:p>
    <w:p w:rsidR="00F5417C" w:rsidRDefault="00F5417C" w:rsidP="00F5417C">
      <w:pPr>
        <w:pStyle w:val="speed-page-tts"/>
        <w:spacing w:before="0" w:beforeAutospacing="0" w:after="0" w:afterAutospacing="0"/>
        <w:rPr>
          <w:rFonts w:ascii="PingFangSC-Regular" w:hAnsi="PingFangSC-Regular" w:cs="Arial" w:hint="eastAsia"/>
          <w:color w:val="000000"/>
          <w:spacing w:val="18"/>
          <w:sz w:val="26"/>
          <w:szCs w:val="26"/>
        </w:rPr>
      </w:pPr>
      <w:r>
        <w:rPr>
          <w:rFonts w:ascii="PingFangSC-Regular" w:hAnsi="PingFangSC-Regular" w:cs="Arial"/>
          <w:color w:val="000000"/>
          <w:spacing w:val="18"/>
          <w:sz w:val="26"/>
          <w:szCs w:val="26"/>
        </w:rPr>
        <w:t>弘扬科学家和研究团队为国奉献精神，提升国家重点实验室的荣誉感和使命感。引导实验室做科研诚信的表率，避免急功近利、急于求成。推动实验室建立容错机制，形成潜心研究、挑战未知的创新文化和宽容失败、鼓励争鸣的学术氛围。保障科研人员围绕实验室确定的科学目标和任务，心无旁骛、长期稳定深耕基础理论、基础方法，产出重大原创性成果，引领国际科技前沿方向。充分发挥学术委员会对实验室发展目标、学科方向、人才队伍等的学术指导作用，保持实验室创新活力。</w:t>
      </w:r>
    </w:p>
    <w:p w:rsidR="00F5417C" w:rsidRDefault="00F5417C" w:rsidP="00F5417C">
      <w:pPr>
        <w:pStyle w:val="speed-page-tts"/>
        <w:spacing w:before="0" w:beforeAutospacing="0" w:after="0" w:afterAutospacing="0"/>
        <w:rPr>
          <w:rFonts w:ascii="PingFangSC-Regular" w:hAnsi="PingFangSC-Regular" w:cs="Arial" w:hint="eastAsia"/>
          <w:color w:val="000000"/>
          <w:spacing w:val="18"/>
          <w:sz w:val="26"/>
          <w:szCs w:val="26"/>
        </w:rPr>
      </w:pPr>
    </w:p>
    <w:p w:rsidR="00F5417C" w:rsidRDefault="00F5417C" w:rsidP="00F5417C">
      <w:pPr>
        <w:pStyle w:val="speed-page-tts"/>
        <w:spacing w:before="0" w:beforeAutospacing="0" w:after="0" w:afterAutospacing="0"/>
        <w:jc w:val="right"/>
        <w:rPr>
          <w:rFonts w:ascii="PingFangSC-Regular" w:hAnsi="PingFangSC-Regular" w:cs="Arial" w:hint="eastAsia"/>
          <w:color w:val="000000"/>
          <w:spacing w:val="18"/>
          <w:sz w:val="26"/>
          <w:szCs w:val="26"/>
        </w:rPr>
      </w:pPr>
      <w:r>
        <w:rPr>
          <w:rFonts w:ascii="PingFangSC-Regular" w:hAnsi="PingFangSC-Regular" w:cs="Arial"/>
          <w:color w:val="000000"/>
          <w:spacing w:val="18"/>
          <w:sz w:val="26"/>
          <w:szCs w:val="26"/>
        </w:rPr>
        <w:t>科技部</w:t>
      </w:r>
      <w:r>
        <w:rPr>
          <w:rFonts w:ascii="PingFangSC-Regular" w:hAnsi="PingFangSC-Regular" w:cs="Arial"/>
          <w:color w:val="000000"/>
          <w:spacing w:val="18"/>
          <w:sz w:val="26"/>
          <w:szCs w:val="26"/>
        </w:rPr>
        <w:t xml:space="preserve"> </w:t>
      </w:r>
      <w:r>
        <w:rPr>
          <w:rFonts w:ascii="PingFangSC-Regular" w:hAnsi="PingFangSC-Regular" w:cs="Arial"/>
          <w:color w:val="000000"/>
          <w:spacing w:val="18"/>
          <w:sz w:val="26"/>
          <w:szCs w:val="26"/>
        </w:rPr>
        <w:t>财政部</w:t>
      </w:r>
    </w:p>
    <w:p w:rsidR="00F5417C" w:rsidRDefault="00F5417C" w:rsidP="00F5417C">
      <w:pPr>
        <w:pStyle w:val="speed-page-tts"/>
        <w:spacing w:before="0" w:beforeAutospacing="0" w:after="0" w:afterAutospacing="0"/>
        <w:jc w:val="right"/>
        <w:rPr>
          <w:rFonts w:ascii="PingFangSC-Regular" w:hAnsi="PingFangSC-Regular" w:cs="Arial" w:hint="eastAsia"/>
          <w:color w:val="000000"/>
          <w:spacing w:val="18"/>
          <w:sz w:val="26"/>
          <w:szCs w:val="26"/>
        </w:rPr>
      </w:pPr>
      <w:r>
        <w:rPr>
          <w:rFonts w:ascii="PingFangSC-Regular" w:hAnsi="PingFangSC-Regular" w:cs="Arial"/>
          <w:color w:val="000000"/>
          <w:spacing w:val="18"/>
          <w:sz w:val="26"/>
          <w:szCs w:val="26"/>
        </w:rPr>
        <w:t>2018</w:t>
      </w:r>
      <w:r>
        <w:rPr>
          <w:rFonts w:ascii="PingFangSC-Regular" w:hAnsi="PingFangSC-Regular" w:cs="Arial"/>
          <w:color w:val="000000"/>
          <w:spacing w:val="18"/>
          <w:sz w:val="26"/>
          <w:szCs w:val="26"/>
        </w:rPr>
        <w:t>年</w:t>
      </w:r>
      <w:r>
        <w:rPr>
          <w:rFonts w:ascii="PingFangSC-Regular" w:hAnsi="PingFangSC-Regular" w:cs="Arial"/>
          <w:color w:val="000000"/>
          <w:spacing w:val="18"/>
          <w:sz w:val="26"/>
          <w:szCs w:val="26"/>
        </w:rPr>
        <w:t>6</w:t>
      </w:r>
      <w:r>
        <w:rPr>
          <w:rFonts w:ascii="PingFangSC-Regular" w:hAnsi="PingFangSC-Regular" w:cs="Arial"/>
          <w:color w:val="000000"/>
          <w:spacing w:val="18"/>
          <w:sz w:val="26"/>
          <w:szCs w:val="26"/>
        </w:rPr>
        <w:t>月</w:t>
      </w:r>
      <w:r>
        <w:rPr>
          <w:rFonts w:ascii="PingFangSC-Regular" w:hAnsi="PingFangSC-Regular" w:cs="Arial"/>
          <w:color w:val="000000"/>
          <w:spacing w:val="18"/>
          <w:sz w:val="26"/>
          <w:szCs w:val="26"/>
        </w:rPr>
        <w:t>22</w:t>
      </w:r>
      <w:r>
        <w:rPr>
          <w:rFonts w:ascii="PingFangSC-Regular" w:hAnsi="PingFangSC-Regular" w:cs="Arial"/>
          <w:color w:val="000000"/>
          <w:spacing w:val="18"/>
          <w:sz w:val="26"/>
          <w:szCs w:val="26"/>
        </w:rPr>
        <w:t>日</w:t>
      </w:r>
    </w:p>
    <w:p w:rsidR="004E3E09" w:rsidRDefault="004E3E09"/>
    <w:sectPr w:rsidR="004E3E09" w:rsidSect="004E3E0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5CD4" w:rsidRDefault="00455CD4" w:rsidP="00CC164F">
      <w:r>
        <w:separator/>
      </w:r>
    </w:p>
  </w:endnote>
  <w:endnote w:type="continuationSeparator" w:id="1">
    <w:p w:rsidR="00455CD4" w:rsidRDefault="00455CD4" w:rsidP="00CC16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ingFangSC-Regula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5CD4" w:rsidRDefault="00455CD4" w:rsidP="00CC164F">
      <w:r>
        <w:separator/>
      </w:r>
    </w:p>
  </w:footnote>
  <w:footnote w:type="continuationSeparator" w:id="1">
    <w:p w:rsidR="00455CD4" w:rsidRDefault="00455CD4" w:rsidP="00CC16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5417C"/>
    <w:rsid w:val="0005170D"/>
    <w:rsid w:val="00455CD4"/>
    <w:rsid w:val="004E3E09"/>
    <w:rsid w:val="00CC164F"/>
    <w:rsid w:val="00F5417C"/>
    <w:rsid w:val="00FD15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E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peed-page-title">
    <w:name w:val="speed-page-title"/>
    <w:basedOn w:val="a"/>
    <w:rsid w:val="00F5417C"/>
    <w:pPr>
      <w:widowControl/>
      <w:spacing w:before="100" w:beforeAutospacing="1" w:after="100" w:afterAutospacing="1"/>
      <w:jc w:val="left"/>
    </w:pPr>
    <w:rPr>
      <w:rFonts w:ascii="宋体" w:eastAsia="宋体" w:hAnsi="宋体" w:cs="宋体"/>
      <w:kern w:val="0"/>
      <w:sz w:val="24"/>
      <w:szCs w:val="24"/>
    </w:rPr>
  </w:style>
  <w:style w:type="paragraph" w:customStyle="1" w:styleId="source-name">
    <w:name w:val="source-name"/>
    <w:basedOn w:val="a"/>
    <w:rsid w:val="00F5417C"/>
    <w:pPr>
      <w:widowControl/>
      <w:spacing w:before="100" w:beforeAutospacing="1" w:after="100" w:afterAutospacing="1"/>
      <w:jc w:val="left"/>
    </w:pPr>
    <w:rPr>
      <w:rFonts w:ascii="宋体" w:eastAsia="宋体" w:hAnsi="宋体" w:cs="宋体"/>
      <w:kern w:val="0"/>
      <w:sz w:val="24"/>
      <w:szCs w:val="24"/>
    </w:rPr>
  </w:style>
  <w:style w:type="paragraph" w:customStyle="1" w:styleId="speed-page-tts">
    <w:name w:val="speed-page-tts"/>
    <w:basedOn w:val="a"/>
    <w:rsid w:val="00F5417C"/>
    <w:pPr>
      <w:widowControl/>
      <w:spacing w:before="100" w:beforeAutospacing="1" w:after="100" w:afterAutospacing="1"/>
      <w:jc w:val="left"/>
    </w:pPr>
    <w:rPr>
      <w:rFonts w:ascii="宋体" w:eastAsia="宋体" w:hAnsi="宋体" w:cs="宋体"/>
      <w:kern w:val="0"/>
      <w:sz w:val="24"/>
      <w:szCs w:val="24"/>
    </w:rPr>
  </w:style>
  <w:style w:type="character" w:customStyle="1" w:styleId="smart-answer-keyword">
    <w:name w:val="smart-answer-keyword"/>
    <w:basedOn w:val="a0"/>
    <w:rsid w:val="00F5417C"/>
  </w:style>
  <w:style w:type="paragraph" w:styleId="a3">
    <w:name w:val="header"/>
    <w:basedOn w:val="a"/>
    <w:link w:val="Char"/>
    <w:uiPriority w:val="99"/>
    <w:semiHidden/>
    <w:unhideWhenUsed/>
    <w:rsid w:val="00CC16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C164F"/>
    <w:rPr>
      <w:sz w:val="18"/>
      <w:szCs w:val="18"/>
    </w:rPr>
  </w:style>
  <w:style w:type="paragraph" w:styleId="a4">
    <w:name w:val="footer"/>
    <w:basedOn w:val="a"/>
    <w:link w:val="Char0"/>
    <w:uiPriority w:val="99"/>
    <w:semiHidden/>
    <w:unhideWhenUsed/>
    <w:rsid w:val="00CC164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C164F"/>
    <w:rPr>
      <w:sz w:val="18"/>
      <w:szCs w:val="18"/>
    </w:rPr>
  </w:style>
</w:styles>
</file>

<file path=word/webSettings.xml><?xml version="1.0" encoding="utf-8"?>
<w:webSettings xmlns:r="http://schemas.openxmlformats.org/officeDocument/2006/relationships" xmlns:w="http://schemas.openxmlformats.org/wordprocessingml/2006/main">
  <w:divs>
    <w:div w:id="2026980884">
      <w:bodyDiv w:val="1"/>
      <w:marLeft w:val="0"/>
      <w:marRight w:val="0"/>
      <w:marTop w:val="0"/>
      <w:marBottom w:val="0"/>
      <w:divBdr>
        <w:top w:val="none" w:sz="0" w:space="0" w:color="auto"/>
        <w:left w:val="none" w:sz="0" w:space="0" w:color="auto"/>
        <w:bottom w:val="none" w:sz="0" w:space="0" w:color="auto"/>
        <w:right w:val="none" w:sz="0" w:space="0" w:color="auto"/>
      </w:divBdr>
      <w:divsChild>
        <w:div w:id="1571965057">
          <w:marLeft w:val="0"/>
          <w:marRight w:val="0"/>
          <w:marTop w:val="0"/>
          <w:marBottom w:val="0"/>
          <w:divBdr>
            <w:top w:val="none" w:sz="0" w:space="0" w:color="auto"/>
            <w:left w:val="none" w:sz="0" w:space="0" w:color="auto"/>
            <w:bottom w:val="none" w:sz="0" w:space="0" w:color="auto"/>
            <w:right w:val="none" w:sz="0" w:space="0" w:color="auto"/>
          </w:divBdr>
        </w:div>
        <w:div w:id="1511793496">
          <w:marLeft w:val="-229"/>
          <w:marRight w:val="-229"/>
          <w:marTop w:val="0"/>
          <w:marBottom w:val="0"/>
          <w:divBdr>
            <w:top w:val="none" w:sz="0" w:space="0" w:color="auto"/>
            <w:left w:val="none" w:sz="0" w:space="0" w:color="auto"/>
            <w:bottom w:val="none" w:sz="0" w:space="0" w:color="auto"/>
            <w:right w:val="none" w:sz="0" w:space="0" w:color="auto"/>
          </w:divBdr>
          <w:divsChild>
            <w:div w:id="577597450">
              <w:marLeft w:val="0"/>
              <w:marRight w:val="0"/>
              <w:marTop w:val="0"/>
              <w:marBottom w:val="0"/>
              <w:divBdr>
                <w:top w:val="none" w:sz="0" w:space="0" w:color="auto"/>
                <w:left w:val="none" w:sz="0" w:space="0" w:color="auto"/>
                <w:bottom w:val="none" w:sz="0" w:space="0" w:color="auto"/>
                <w:right w:val="none" w:sz="0" w:space="0" w:color="auto"/>
              </w:divBdr>
            </w:div>
          </w:divsChild>
        </w:div>
        <w:div w:id="601185161">
          <w:marLeft w:val="-229"/>
          <w:marRight w:val="-229"/>
          <w:marTop w:val="0"/>
          <w:marBottom w:val="0"/>
          <w:divBdr>
            <w:top w:val="none" w:sz="0" w:space="0" w:color="auto"/>
            <w:left w:val="none" w:sz="0" w:space="0" w:color="auto"/>
            <w:bottom w:val="none" w:sz="0" w:space="0" w:color="auto"/>
            <w:right w:val="none" w:sz="0" w:space="0" w:color="auto"/>
          </w:divBdr>
          <w:divsChild>
            <w:div w:id="2121605857">
              <w:marLeft w:val="0"/>
              <w:marRight w:val="0"/>
              <w:marTop w:val="0"/>
              <w:marBottom w:val="0"/>
              <w:divBdr>
                <w:top w:val="none" w:sz="0" w:space="0" w:color="auto"/>
                <w:left w:val="none" w:sz="0" w:space="0" w:color="auto"/>
                <w:bottom w:val="none" w:sz="0" w:space="0" w:color="auto"/>
                <w:right w:val="none" w:sz="0" w:space="0" w:color="auto"/>
              </w:divBdr>
            </w:div>
          </w:divsChild>
        </w:div>
        <w:div w:id="232663798">
          <w:marLeft w:val="-229"/>
          <w:marRight w:val="-229"/>
          <w:marTop w:val="0"/>
          <w:marBottom w:val="0"/>
          <w:divBdr>
            <w:top w:val="none" w:sz="0" w:space="0" w:color="auto"/>
            <w:left w:val="none" w:sz="0" w:space="0" w:color="auto"/>
            <w:bottom w:val="none" w:sz="0" w:space="0" w:color="auto"/>
            <w:right w:val="none" w:sz="0" w:space="0" w:color="auto"/>
          </w:divBdr>
          <w:divsChild>
            <w:div w:id="974602438">
              <w:marLeft w:val="0"/>
              <w:marRight w:val="0"/>
              <w:marTop w:val="0"/>
              <w:marBottom w:val="0"/>
              <w:divBdr>
                <w:top w:val="none" w:sz="0" w:space="0" w:color="auto"/>
                <w:left w:val="none" w:sz="0" w:space="0" w:color="auto"/>
                <w:bottom w:val="none" w:sz="0" w:space="0" w:color="auto"/>
                <w:right w:val="none" w:sz="0" w:space="0" w:color="auto"/>
              </w:divBdr>
            </w:div>
          </w:divsChild>
        </w:div>
        <w:div w:id="1713767451">
          <w:marLeft w:val="-229"/>
          <w:marRight w:val="-229"/>
          <w:marTop w:val="0"/>
          <w:marBottom w:val="0"/>
          <w:divBdr>
            <w:top w:val="none" w:sz="0" w:space="0" w:color="auto"/>
            <w:left w:val="none" w:sz="0" w:space="0" w:color="auto"/>
            <w:bottom w:val="none" w:sz="0" w:space="0" w:color="auto"/>
            <w:right w:val="none" w:sz="0" w:space="0" w:color="auto"/>
          </w:divBdr>
          <w:divsChild>
            <w:div w:id="730077742">
              <w:marLeft w:val="0"/>
              <w:marRight w:val="0"/>
              <w:marTop w:val="0"/>
              <w:marBottom w:val="0"/>
              <w:divBdr>
                <w:top w:val="none" w:sz="0" w:space="0" w:color="auto"/>
                <w:left w:val="none" w:sz="0" w:space="0" w:color="auto"/>
                <w:bottom w:val="none" w:sz="0" w:space="0" w:color="auto"/>
                <w:right w:val="none" w:sz="0" w:space="0" w:color="auto"/>
              </w:divBdr>
            </w:div>
          </w:divsChild>
        </w:div>
        <w:div w:id="1098216655">
          <w:marLeft w:val="-229"/>
          <w:marRight w:val="-229"/>
          <w:marTop w:val="0"/>
          <w:marBottom w:val="0"/>
          <w:divBdr>
            <w:top w:val="none" w:sz="0" w:space="0" w:color="auto"/>
            <w:left w:val="none" w:sz="0" w:space="0" w:color="auto"/>
            <w:bottom w:val="none" w:sz="0" w:space="0" w:color="auto"/>
            <w:right w:val="none" w:sz="0" w:space="0" w:color="auto"/>
          </w:divBdr>
          <w:divsChild>
            <w:div w:id="58787839">
              <w:marLeft w:val="0"/>
              <w:marRight w:val="0"/>
              <w:marTop w:val="0"/>
              <w:marBottom w:val="0"/>
              <w:divBdr>
                <w:top w:val="none" w:sz="0" w:space="0" w:color="auto"/>
                <w:left w:val="none" w:sz="0" w:space="0" w:color="auto"/>
                <w:bottom w:val="none" w:sz="0" w:space="0" w:color="auto"/>
                <w:right w:val="none" w:sz="0" w:space="0" w:color="auto"/>
              </w:divBdr>
            </w:div>
          </w:divsChild>
        </w:div>
        <w:div w:id="1084647073">
          <w:marLeft w:val="-229"/>
          <w:marRight w:val="-229"/>
          <w:marTop w:val="0"/>
          <w:marBottom w:val="0"/>
          <w:divBdr>
            <w:top w:val="none" w:sz="0" w:space="0" w:color="auto"/>
            <w:left w:val="none" w:sz="0" w:space="0" w:color="auto"/>
            <w:bottom w:val="none" w:sz="0" w:space="0" w:color="auto"/>
            <w:right w:val="none" w:sz="0" w:space="0" w:color="auto"/>
          </w:divBdr>
          <w:divsChild>
            <w:div w:id="1096907256">
              <w:marLeft w:val="0"/>
              <w:marRight w:val="0"/>
              <w:marTop w:val="0"/>
              <w:marBottom w:val="0"/>
              <w:divBdr>
                <w:top w:val="none" w:sz="0" w:space="0" w:color="auto"/>
                <w:left w:val="none" w:sz="0" w:space="0" w:color="auto"/>
                <w:bottom w:val="none" w:sz="0" w:space="0" w:color="auto"/>
                <w:right w:val="none" w:sz="0" w:space="0" w:color="auto"/>
              </w:divBdr>
            </w:div>
          </w:divsChild>
        </w:div>
        <w:div w:id="111629254">
          <w:marLeft w:val="-229"/>
          <w:marRight w:val="-229"/>
          <w:marTop w:val="0"/>
          <w:marBottom w:val="0"/>
          <w:divBdr>
            <w:top w:val="none" w:sz="0" w:space="0" w:color="auto"/>
            <w:left w:val="none" w:sz="0" w:space="0" w:color="auto"/>
            <w:bottom w:val="none" w:sz="0" w:space="0" w:color="auto"/>
            <w:right w:val="none" w:sz="0" w:space="0" w:color="auto"/>
          </w:divBdr>
          <w:divsChild>
            <w:div w:id="1561482800">
              <w:marLeft w:val="0"/>
              <w:marRight w:val="0"/>
              <w:marTop w:val="0"/>
              <w:marBottom w:val="0"/>
              <w:divBdr>
                <w:top w:val="none" w:sz="0" w:space="0" w:color="auto"/>
                <w:left w:val="none" w:sz="0" w:space="0" w:color="auto"/>
                <w:bottom w:val="none" w:sz="0" w:space="0" w:color="auto"/>
                <w:right w:val="none" w:sz="0" w:space="0" w:color="auto"/>
              </w:divBdr>
            </w:div>
          </w:divsChild>
        </w:div>
        <w:div w:id="1459490375">
          <w:marLeft w:val="-229"/>
          <w:marRight w:val="-229"/>
          <w:marTop w:val="0"/>
          <w:marBottom w:val="0"/>
          <w:divBdr>
            <w:top w:val="none" w:sz="0" w:space="0" w:color="auto"/>
            <w:left w:val="none" w:sz="0" w:space="0" w:color="auto"/>
            <w:bottom w:val="none" w:sz="0" w:space="0" w:color="auto"/>
            <w:right w:val="none" w:sz="0" w:space="0" w:color="auto"/>
          </w:divBdr>
          <w:divsChild>
            <w:div w:id="1994947528">
              <w:marLeft w:val="0"/>
              <w:marRight w:val="0"/>
              <w:marTop w:val="0"/>
              <w:marBottom w:val="0"/>
              <w:divBdr>
                <w:top w:val="none" w:sz="0" w:space="0" w:color="auto"/>
                <w:left w:val="none" w:sz="0" w:space="0" w:color="auto"/>
                <w:bottom w:val="none" w:sz="0" w:space="0" w:color="auto"/>
                <w:right w:val="none" w:sz="0" w:space="0" w:color="auto"/>
              </w:divBdr>
            </w:div>
          </w:divsChild>
        </w:div>
        <w:div w:id="1625191367">
          <w:marLeft w:val="-229"/>
          <w:marRight w:val="-229"/>
          <w:marTop w:val="0"/>
          <w:marBottom w:val="0"/>
          <w:divBdr>
            <w:top w:val="none" w:sz="0" w:space="0" w:color="auto"/>
            <w:left w:val="none" w:sz="0" w:space="0" w:color="auto"/>
            <w:bottom w:val="none" w:sz="0" w:space="0" w:color="auto"/>
            <w:right w:val="none" w:sz="0" w:space="0" w:color="auto"/>
          </w:divBdr>
          <w:divsChild>
            <w:div w:id="1492214026">
              <w:marLeft w:val="0"/>
              <w:marRight w:val="0"/>
              <w:marTop w:val="0"/>
              <w:marBottom w:val="0"/>
              <w:divBdr>
                <w:top w:val="none" w:sz="0" w:space="0" w:color="auto"/>
                <w:left w:val="none" w:sz="0" w:space="0" w:color="auto"/>
                <w:bottom w:val="none" w:sz="0" w:space="0" w:color="auto"/>
                <w:right w:val="none" w:sz="0" w:space="0" w:color="auto"/>
              </w:divBdr>
            </w:div>
          </w:divsChild>
        </w:div>
        <w:div w:id="840779336">
          <w:marLeft w:val="-229"/>
          <w:marRight w:val="-229"/>
          <w:marTop w:val="0"/>
          <w:marBottom w:val="0"/>
          <w:divBdr>
            <w:top w:val="none" w:sz="0" w:space="0" w:color="auto"/>
            <w:left w:val="none" w:sz="0" w:space="0" w:color="auto"/>
            <w:bottom w:val="none" w:sz="0" w:space="0" w:color="auto"/>
            <w:right w:val="none" w:sz="0" w:space="0" w:color="auto"/>
          </w:divBdr>
          <w:divsChild>
            <w:div w:id="1251308396">
              <w:marLeft w:val="0"/>
              <w:marRight w:val="0"/>
              <w:marTop w:val="0"/>
              <w:marBottom w:val="0"/>
              <w:divBdr>
                <w:top w:val="none" w:sz="0" w:space="0" w:color="auto"/>
                <w:left w:val="none" w:sz="0" w:space="0" w:color="auto"/>
                <w:bottom w:val="none" w:sz="0" w:space="0" w:color="auto"/>
                <w:right w:val="none" w:sz="0" w:space="0" w:color="auto"/>
              </w:divBdr>
            </w:div>
          </w:divsChild>
        </w:div>
        <w:div w:id="1558780527">
          <w:marLeft w:val="-229"/>
          <w:marRight w:val="-229"/>
          <w:marTop w:val="0"/>
          <w:marBottom w:val="0"/>
          <w:divBdr>
            <w:top w:val="none" w:sz="0" w:space="0" w:color="auto"/>
            <w:left w:val="none" w:sz="0" w:space="0" w:color="auto"/>
            <w:bottom w:val="none" w:sz="0" w:space="0" w:color="auto"/>
            <w:right w:val="none" w:sz="0" w:space="0" w:color="auto"/>
          </w:divBdr>
          <w:divsChild>
            <w:div w:id="1487864868">
              <w:marLeft w:val="0"/>
              <w:marRight w:val="0"/>
              <w:marTop w:val="0"/>
              <w:marBottom w:val="0"/>
              <w:divBdr>
                <w:top w:val="none" w:sz="0" w:space="0" w:color="auto"/>
                <w:left w:val="none" w:sz="0" w:space="0" w:color="auto"/>
                <w:bottom w:val="none" w:sz="0" w:space="0" w:color="auto"/>
                <w:right w:val="none" w:sz="0" w:space="0" w:color="auto"/>
              </w:divBdr>
            </w:div>
          </w:divsChild>
        </w:div>
        <w:div w:id="32271711">
          <w:marLeft w:val="-229"/>
          <w:marRight w:val="-229"/>
          <w:marTop w:val="0"/>
          <w:marBottom w:val="0"/>
          <w:divBdr>
            <w:top w:val="none" w:sz="0" w:space="0" w:color="auto"/>
            <w:left w:val="none" w:sz="0" w:space="0" w:color="auto"/>
            <w:bottom w:val="none" w:sz="0" w:space="0" w:color="auto"/>
            <w:right w:val="none" w:sz="0" w:space="0" w:color="auto"/>
          </w:divBdr>
          <w:divsChild>
            <w:div w:id="776221182">
              <w:marLeft w:val="0"/>
              <w:marRight w:val="0"/>
              <w:marTop w:val="0"/>
              <w:marBottom w:val="0"/>
              <w:divBdr>
                <w:top w:val="none" w:sz="0" w:space="0" w:color="auto"/>
                <w:left w:val="none" w:sz="0" w:space="0" w:color="auto"/>
                <w:bottom w:val="none" w:sz="0" w:space="0" w:color="auto"/>
                <w:right w:val="none" w:sz="0" w:space="0" w:color="auto"/>
              </w:divBdr>
            </w:div>
          </w:divsChild>
        </w:div>
        <w:div w:id="352809182">
          <w:marLeft w:val="-229"/>
          <w:marRight w:val="-229"/>
          <w:marTop w:val="0"/>
          <w:marBottom w:val="0"/>
          <w:divBdr>
            <w:top w:val="none" w:sz="0" w:space="0" w:color="auto"/>
            <w:left w:val="none" w:sz="0" w:space="0" w:color="auto"/>
            <w:bottom w:val="none" w:sz="0" w:space="0" w:color="auto"/>
            <w:right w:val="none" w:sz="0" w:space="0" w:color="auto"/>
          </w:divBdr>
          <w:divsChild>
            <w:div w:id="1988971396">
              <w:marLeft w:val="0"/>
              <w:marRight w:val="0"/>
              <w:marTop w:val="0"/>
              <w:marBottom w:val="0"/>
              <w:divBdr>
                <w:top w:val="none" w:sz="0" w:space="0" w:color="auto"/>
                <w:left w:val="none" w:sz="0" w:space="0" w:color="auto"/>
                <w:bottom w:val="none" w:sz="0" w:space="0" w:color="auto"/>
                <w:right w:val="none" w:sz="0" w:space="0" w:color="auto"/>
              </w:divBdr>
            </w:div>
          </w:divsChild>
        </w:div>
        <w:div w:id="860314193">
          <w:marLeft w:val="-229"/>
          <w:marRight w:val="-229"/>
          <w:marTop w:val="0"/>
          <w:marBottom w:val="0"/>
          <w:divBdr>
            <w:top w:val="none" w:sz="0" w:space="0" w:color="auto"/>
            <w:left w:val="none" w:sz="0" w:space="0" w:color="auto"/>
            <w:bottom w:val="none" w:sz="0" w:space="0" w:color="auto"/>
            <w:right w:val="none" w:sz="0" w:space="0" w:color="auto"/>
          </w:divBdr>
          <w:divsChild>
            <w:div w:id="782922841">
              <w:marLeft w:val="0"/>
              <w:marRight w:val="0"/>
              <w:marTop w:val="0"/>
              <w:marBottom w:val="0"/>
              <w:divBdr>
                <w:top w:val="none" w:sz="0" w:space="0" w:color="auto"/>
                <w:left w:val="none" w:sz="0" w:space="0" w:color="auto"/>
                <w:bottom w:val="none" w:sz="0" w:space="0" w:color="auto"/>
                <w:right w:val="none" w:sz="0" w:space="0" w:color="auto"/>
              </w:divBdr>
            </w:div>
          </w:divsChild>
        </w:div>
        <w:div w:id="1573197056">
          <w:marLeft w:val="-229"/>
          <w:marRight w:val="-229"/>
          <w:marTop w:val="0"/>
          <w:marBottom w:val="0"/>
          <w:divBdr>
            <w:top w:val="none" w:sz="0" w:space="0" w:color="auto"/>
            <w:left w:val="none" w:sz="0" w:space="0" w:color="auto"/>
            <w:bottom w:val="none" w:sz="0" w:space="0" w:color="auto"/>
            <w:right w:val="none" w:sz="0" w:space="0" w:color="auto"/>
          </w:divBdr>
          <w:divsChild>
            <w:div w:id="1742363106">
              <w:marLeft w:val="0"/>
              <w:marRight w:val="0"/>
              <w:marTop w:val="0"/>
              <w:marBottom w:val="0"/>
              <w:divBdr>
                <w:top w:val="none" w:sz="0" w:space="0" w:color="auto"/>
                <w:left w:val="none" w:sz="0" w:space="0" w:color="auto"/>
                <w:bottom w:val="none" w:sz="0" w:space="0" w:color="auto"/>
                <w:right w:val="none" w:sz="0" w:space="0" w:color="auto"/>
              </w:divBdr>
            </w:div>
          </w:divsChild>
        </w:div>
        <w:div w:id="513232537">
          <w:marLeft w:val="-229"/>
          <w:marRight w:val="-229"/>
          <w:marTop w:val="0"/>
          <w:marBottom w:val="0"/>
          <w:divBdr>
            <w:top w:val="none" w:sz="0" w:space="0" w:color="auto"/>
            <w:left w:val="none" w:sz="0" w:space="0" w:color="auto"/>
            <w:bottom w:val="none" w:sz="0" w:space="0" w:color="auto"/>
            <w:right w:val="none" w:sz="0" w:space="0" w:color="auto"/>
          </w:divBdr>
          <w:divsChild>
            <w:div w:id="690035381">
              <w:marLeft w:val="0"/>
              <w:marRight w:val="0"/>
              <w:marTop w:val="0"/>
              <w:marBottom w:val="0"/>
              <w:divBdr>
                <w:top w:val="none" w:sz="0" w:space="0" w:color="auto"/>
                <w:left w:val="none" w:sz="0" w:space="0" w:color="auto"/>
                <w:bottom w:val="none" w:sz="0" w:space="0" w:color="auto"/>
                <w:right w:val="none" w:sz="0" w:space="0" w:color="auto"/>
              </w:divBdr>
            </w:div>
          </w:divsChild>
        </w:div>
        <w:div w:id="1334800025">
          <w:marLeft w:val="-229"/>
          <w:marRight w:val="-229"/>
          <w:marTop w:val="0"/>
          <w:marBottom w:val="0"/>
          <w:divBdr>
            <w:top w:val="none" w:sz="0" w:space="0" w:color="auto"/>
            <w:left w:val="none" w:sz="0" w:space="0" w:color="auto"/>
            <w:bottom w:val="none" w:sz="0" w:space="0" w:color="auto"/>
            <w:right w:val="none" w:sz="0" w:space="0" w:color="auto"/>
          </w:divBdr>
          <w:divsChild>
            <w:div w:id="1828394248">
              <w:marLeft w:val="0"/>
              <w:marRight w:val="0"/>
              <w:marTop w:val="0"/>
              <w:marBottom w:val="0"/>
              <w:divBdr>
                <w:top w:val="none" w:sz="0" w:space="0" w:color="auto"/>
                <w:left w:val="none" w:sz="0" w:space="0" w:color="auto"/>
                <w:bottom w:val="none" w:sz="0" w:space="0" w:color="auto"/>
                <w:right w:val="none" w:sz="0" w:space="0" w:color="auto"/>
              </w:divBdr>
            </w:div>
          </w:divsChild>
        </w:div>
        <w:div w:id="1876654837">
          <w:marLeft w:val="-229"/>
          <w:marRight w:val="-229"/>
          <w:marTop w:val="0"/>
          <w:marBottom w:val="0"/>
          <w:divBdr>
            <w:top w:val="none" w:sz="0" w:space="0" w:color="auto"/>
            <w:left w:val="none" w:sz="0" w:space="0" w:color="auto"/>
            <w:bottom w:val="none" w:sz="0" w:space="0" w:color="auto"/>
            <w:right w:val="none" w:sz="0" w:space="0" w:color="auto"/>
          </w:divBdr>
          <w:divsChild>
            <w:div w:id="65108596">
              <w:marLeft w:val="0"/>
              <w:marRight w:val="0"/>
              <w:marTop w:val="0"/>
              <w:marBottom w:val="0"/>
              <w:divBdr>
                <w:top w:val="none" w:sz="0" w:space="0" w:color="auto"/>
                <w:left w:val="none" w:sz="0" w:space="0" w:color="auto"/>
                <w:bottom w:val="none" w:sz="0" w:space="0" w:color="auto"/>
                <w:right w:val="none" w:sz="0" w:space="0" w:color="auto"/>
              </w:divBdr>
            </w:div>
          </w:divsChild>
        </w:div>
        <w:div w:id="1274939957">
          <w:marLeft w:val="-229"/>
          <w:marRight w:val="-229"/>
          <w:marTop w:val="0"/>
          <w:marBottom w:val="0"/>
          <w:divBdr>
            <w:top w:val="none" w:sz="0" w:space="0" w:color="auto"/>
            <w:left w:val="none" w:sz="0" w:space="0" w:color="auto"/>
            <w:bottom w:val="none" w:sz="0" w:space="0" w:color="auto"/>
            <w:right w:val="none" w:sz="0" w:space="0" w:color="auto"/>
          </w:divBdr>
          <w:divsChild>
            <w:div w:id="795028618">
              <w:marLeft w:val="0"/>
              <w:marRight w:val="0"/>
              <w:marTop w:val="0"/>
              <w:marBottom w:val="0"/>
              <w:divBdr>
                <w:top w:val="none" w:sz="0" w:space="0" w:color="auto"/>
                <w:left w:val="none" w:sz="0" w:space="0" w:color="auto"/>
                <w:bottom w:val="none" w:sz="0" w:space="0" w:color="auto"/>
                <w:right w:val="none" w:sz="0" w:space="0" w:color="auto"/>
              </w:divBdr>
            </w:div>
          </w:divsChild>
        </w:div>
        <w:div w:id="1185437438">
          <w:marLeft w:val="-229"/>
          <w:marRight w:val="-229"/>
          <w:marTop w:val="0"/>
          <w:marBottom w:val="0"/>
          <w:divBdr>
            <w:top w:val="none" w:sz="0" w:space="0" w:color="auto"/>
            <w:left w:val="none" w:sz="0" w:space="0" w:color="auto"/>
            <w:bottom w:val="none" w:sz="0" w:space="0" w:color="auto"/>
            <w:right w:val="none" w:sz="0" w:space="0" w:color="auto"/>
          </w:divBdr>
          <w:divsChild>
            <w:div w:id="386612250">
              <w:marLeft w:val="0"/>
              <w:marRight w:val="0"/>
              <w:marTop w:val="0"/>
              <w:marBottom w:val="0"/>
              <w:divBdr>
                <w:top w:val="none" w:sz="0" w:space="0" w:color="auto"/>
                <w:left w:val="none" w:sz="0" w:space="0" w:color="auto"/>
                <w:bottom w:val="none" w:sz="0" w:space="0" w:color="auto"/>
                <w:right w:val="none" w:sz="0" w:space="0" w:color="auto"/>
              </w:divBdr>
            </w:div>
          </w:divsChild>
        </w:div>
        <w:div w:id="871115668">
          <w:marLeft w:val="-229"/>
          <w:marRight w:val="-229"/>
          <w:marTop w:val="0"/>
          <w:marBottom w:val="0"/>
          <w:divBdr>
            <w:top w:val="none" w:sz="0" w:space="0" w:color="auto"/>
            <w:left w:val="none" w:sz="0" w:space="0" w:color="auto"/>
            <w:bottom w:val="none" w:sz="0" w:space="0" w:color="auto"/>
            <w:right w:val="none" w:sz="0" w:space="0" w:color="auto"/>
          </w:divBdr>
          <w:divsChild>
            <w:div w:id="18701159">
              <w:marLeft w:val="0"/>
              <w:marRight w:val="0"/>
              <w:marTop w:val="0"/>
              <w:marBottom w:val="0"/>
              <w:divBdr>
                <w:top w:val="none" w:sz="0" w:space="0" w:color="auto"/>
                <w:left w:val="none" w:sz="0" w:space="0" w:color="auto"/>
                <w:bottom w:val="none" w:sz="0" w:space="0" w:color="auto"/>
                <w:right w:val="none" w:sz="0" w:space="0" w:color="auto"/>
              </w:divBdr>
            </w:div>
          </w:divsChild>
        </w:div>
        <w:div w:id="2068840476">
          <w:marLeft w:val="-229"/>
          <w:marRight w:val="-229"/>
          <w:marTop w:val="0"/>
          <w:marBottom w:val="0"/>
          <w:divBdr>
            <w:top w:val="none" w:sz="0" w:space="0" w:color="auto"/>
            <w:left w:val="none" w:sz="0" w:space="0" w:color="auto"/>
            <w:bottom w:val="none" w:sz="0" w:space="0" w:color="auto"/>
            <w:right w:val="none" w:sz="0" w:space="0" w:color="auto"/>
          </w:divBdr>
          <w:divsChild>
            <w:div w:id="1659382827">
              <w:marLeft w:val="0"/>
              <w:marRight w:val="0"/>
              <w:marTop w:val="0"/>
              <w:marBottom w:val="0"/>
              <w:divBdr>
                <w:top w:val="none" w:sz="0" w:space="0" w:color="auto"/>
                <w:left w:val="none" w:sz="0" w:space="0" w:color="auto"/>
                <w:bottom w:val="none" w:sz="0" w:space="0" w:color="auto"/>
                <w:right w:val="none" w:sz="0" w:space="0" w:color="auto"/>
              </w:divBdr>
            </w:div>
          </w:divsChild>
        </w:div>
        <w:div w:id="2059084399">
          <w:marLeft w:val="-229"/>
          <w:marRight w:val="-229"/>
          <w:marTop w:val="0"/>
          <w:marBottom w:val="0"/>
          <w:divBdr>
            <w:top w:val="none" w:sz="0" w:space="0" w:color="auto"/>
            <w:left w:val="none" w:sz="0" w:space="0" w:color="auto"/>
            <w:bottom w:val="none" w:sz="0" w:space="0" w:color="auto"/>
            <w:right w:val="none" w:sz="0" w:space="0" w:color="auto"/>
          </w:divBdr>
          <w:divsChild>
            <w:div w:id="943265807">
              <w:marLeft w:val="0"/>
              <w:marRight w:val="0"/>
              <w:marTop w:val="0"/>
              <w:marBottom w:val="0"/>
              <w:divBdr>
                <w:top w:val="none" w:sz="0" w:space="0" w:color="auto"/>
                <w:left w:val="none" w:sz="0" w:space="0" w:color="auto"/>
                <w:bottom w:val="none" w:sz="0" w:space="0" w:color="auto"/>
                <w:right w:val="none" w:sz="0" w:space="0" w:color="auto"/>
              </w:divBdr>
            </w:div>
          </w:divsChild>
        </w:div>
        <w:div w:id="1693455028">
          <w:marLeft w:val="-229"/>
          <w:marRight w:val="-229"/>
          <w:marTop w:val="0"/>
          <w:marBottom w:val="0"/>
          <w:divBdr>
            <w:top w:val="none" w:sz="0" w:space="0" w:color="auto"/>
            <w:left w:val="none" w:sz="0" w:space="0" w:color="auto"/>
            <w:bottom w:val="none" w:sz="0" w:space="0" w:color="auto"/>
            <w:right w:val="none" w:sz="0" w:space="0" w:color="auto"/>
          </w:divBdr>
          <w:divsChild>
            <w:div w:id="333994163">
              <w:marLeft w:val="0"/>
              <w:marRight w:val="0"/>
              <w:marTop w:val="0"/>
              <w:marBottom w:val="0"/>
              <w:divBdr>
                <w:top w:val="none" w:sz="0" w:space="0" w:color="auto"/>
                <w:left w:val="none" w:sz="0" w:space="0" w:color="auto"/>
                <w:bottom w:val="none" w:sz="0" w:space="0" w:color="auto"/>
                <w:right w:val="none" w:sz="0" w:space="0" w:color="auto"/>
              </w:divBdr>
            </w:div>
          </w:divsChild>
        </w:div>
        <w:div w:id="628362123">
          <w:marLeft w:val="-229"/>
          <w:marRight w:val="-229"/>
          <w:marTop w:val="0"/>
          <w:marBottom w:val="0"/>
          <w:divBdr>
            <w:top w:val="none" w:sz="0" w:space="0" w:color="auto"/>
            <w:left w:val="none" w:sz="0" w:space="0" w:color="auto"/>
            <w:bottom w:val="none" w:sz="0" w:space="0" w:color="auto"/>
            <w:right w:val="none" w:sz="0" w:space="0" w:color="auto"/>
          </w:divBdr>
          <w:divsChild>
            <w:div w:id="416098251">
              <w:marLeft w:val="0"/>
              <w:marRight w:val="0"/>
              <w:marTop w:val="0"/>
              <w:marBottom w:val="0"/>
              <w:divBdr>
                <w:top w:val="none" w:sz="0" w:space="0" w:color="auto"/>
                <w:left w:val="none" w:sz="0" w:space="0" w:color="auto"/>
                <w:bottom w:val="none" w:sz="0" w:space="0" w:color="auto"/>
                <w:right w:val="none" w:sz="0" w:space="0" w:color="auto"/>
              </w:divBdr>
            </w:div>
          </w:divsChild>
        </w:div>
        <w:div w:id="1597399587">
          <w:marLeft w:val="-229"/>
          <w:marRight w:val="-229"/>
          <w:marTop w:val="0"/>
          <w:marBottom w:val="0"/>
          <w:divBdr>
            <w:top w:val="none" w:sz="0" w:space="0" w:color="auto"/>
            <w:left w:val="none" w:sz="0" w:space="0" w:color="auto"/>
            <w:bottom w:val="none" w:sz="0" w:space="0" w:color="auto"/>
            <w:right w:val="none" w:sz="0" w:space="0" w:color="auto"/>
          </w:divBdr>
          <w:divsChild>
            <w:div w:id="1331759020">
              <w:marLeft w:val="0"/>
              <w:marRight w:val="0"/>
              <w:marTop w:val="0"/>
              <w:marBottom w:val="0"/>
              <w:divBdr>
                <w:top w:val="none" w:sz="0" w:space="0" w:color="auto"/>
                <w:left w:val="none" w:sz="0" w:space="0" w:color="auto"/>
                <w:bottom w:val="none" w:sz="0" w:space="0" w:color="auto"/>
                <w:right w:val="none" w:sz="0" w:space="0" w:color="auto"/>
              </w:divBdr>
            </w:div>
          </w:divsChild>
        </w:div>
        <w:div w:id="1463690970">
          <w:marLeft w:val="-229"/>
          <w:marRight w:val="-229"/>
          <w:marTop w:val="0"/>
          <w:marBottom w:val="0"/>
          <w:divBdr>
            <w:top w:val="none" w:sz="0" w:space="0" w:color="auto"/>
            <w:left w:val="none" w:sz="0" w:space="0" w:color="auto"/>
            <w:bottom w:val="none" w:sz="0" w:space="0" w:color="auto"/>
            <w:right w:val="none" w:sz="0" w:space="0" w:color="auto"/>
          </w:divBdr>
          <w:divsChild>
            <w:div w:id="2091612981">
              <w:marLeft w:val="0"/>
              <w:marRight w:val="0"/>
              <w:marTop w:val="0"/>
              <w:marBottom w:val="0"/>
              <w:divBdr>
                <w:top w:val="none" w:sz="0" w:space="0" w:color="auto"/>
                <w:left w:val="none" w:sz="0" w:space="0" w:color="auto"/>
                <w:bottom w:val="none" w:sz="0" w:space="0" w:color="auto"/>
                <w:right w:val="none" w:sz="0" w:space="0" w:color="auto"/>
              </w:divBdr>
            </w:div>
          </w:divsChild>
        </w:div>
        <w:div w:id="2119248804">
          <w:marLeft w:val="-229"/>
          <w:marRight w:val="-229"/>
          <w:marTop w:val="0"/>
          <w:marBottom w:val="0"/>
          <w:divBdr>
            <w:top w:val="none" w:sz="0" w:space="0" w:color="auto"/>
            <w:left w:val="none" w:sz="0" w:space="0" w:color="auto"/>
            <w:bottom w:val="none" w:sz="0" w:space="0" w:color="auto"/>
            <w:right w:val="none" w:sz="0" w:space="0" w:color="auto"/>
          </w:divBdr>
          <w:divsChild>
            <w:div w:id="386339898">
              <w:marLeft w:val="0"/>
              <w:marRight w:val="0"/>
              <w:marTop w:val="0"/>
              <w:marBottom w:val="0"/>
              <w:divBdr>
                <w:top w:val="none" w:sz="0" w:space="0" w:color="auto"/>
                <w:left w:val="none" w:sz="0" w:space="0" w:color="auto"/>
                <w:bottom w:val="none" w:sz="0" w:space="0" w:color="auto"/>
                <w:right w:val="none" w:sz="0" w:space="0" w:color="auto"/>
              </w:divBdr>
            </w:div>
          </w:divsChild>
        </w:div>
        <w:div w:id="1416518003">
          <w:marLeft w:val="-229"/>
          <w:marRight w:val="-229"/>
          <w:marTop w:val="0"/>
          <w:marBottom w:val="0"/>
          <w:divBdr>
            <w:top w:val="none" w:sz="0" w:space="0" w:color="auto"/>
            <w:left w:val="none" w:sz="0" w:space="0" w:color="auto"/>
            <w:bottom w:val="none" w:sz="0" w:space="0" w:color="auto"/>
            <w:right w:val="none" w:sz="0" w:space="0" w:color="auto"/>
          </w:divBdr>
          <w:divsChild>
            <w:div w:id="1503466409">
              <w:marLeft w:val="0"/>
              <w:marRight w:val="0"/>
              <w:marTop w:val="0"/>
              <w:marBottom w:val="0"/>
              <w:divBdr>
                <w:top w:val="none" w:sz="0" w:space="0" w:color="auto"/>
                <w:left w:val="none" w:sz="0" w:space="0" w:color="auto"/>
                <w:bottom w:val="none" w:sz="0" w:space="0" w:color="auto"/>
                <w:right w:val="none" w:sz="0" w:space="0" w:color="auto"/>
              </w:divBdr>
            </w:div>
          </w:divsChild>
        </w:div>
        <w:div w:id="473917000">
          <w:marLeft w:val="-229"/>
          <w:marRight w:val="-229"/>
          <w:marTop w:val="0"/>
          <w:marBottom w:val="0"/>
          <w:divBdr>
            <w:top w:val="none" w:sz="0" w:space="0" w:color="auto"/>
            <w:left w:val="none" w:sz="0" w:space="0" w:color="auto"/>
            <w:bottom w:val="none" w:sz="0" w:space="0" w:color="auto"/>
            <w:right w:val="none" w:sz="0" w:space="0" w:color="auto"/>
          </w:divBdr>
          <w:divsChild>
            <w:div w:id="936406354">
              <w:marLeft w:val="0"/>
              <w:marRight w:val="0"/>
              <w:marTop w:val="0"/>
              <w:marBottom w:val="0"/>
              <w:divBdr>
                <w:top w:val="none" w:sz="0" w:space="0" w:color="auto"/>
                <w:left w:val="none" w:sz="0" w:space="0" w:color="auto"/>
                <w:bottom w:val="none" w:sz="0" w:space="0" w:color="auto"/>
                <w:right w:val="none" w:sz="0" w:space="0" w:color="auto"/>
              </w:divBdr>
            </w:div>
          </w:divsChild>
        </w:div>
        <w:div w:id="1539973795">
          <w:marLeft w:val="-229"/>
          <w:marRight w:val="-229"/>
          <w:marTop w:val="0"/>
          <w:marBottom w:val="0"/>
          <w:divBdr>
            <w:top w:val="none" w:sz="0" w:space="0" w:color="auto"/>
            <w:left w:val="none" w:sz="0" w:space="0" w:color="auto"/>
            <w:bottom w:val="none" w:sz="0" w:space="0" w:color="auto"/>
            <w:right w:val="none" w:sz="0" w:space="0" w:color="auto"/>
          </w:divBdr>
          <w:divsChild>
            <w:div w:id="191119177">
              <w:marLeft w:val="0"/>
              <w:marRight w:val="0"/>
              <w:marTop w:val="0"/>
              <w:marBottom w:val="0"/>
              <w:divBdr>
                <w:top w:val="none" w:sz="0" w:space="0" w:color="auto"/>
                <w:left w:val="none" w:sz="0" w:space="0" w:color="auto"/>
                <w:bottom w:val="none" w:sz="0" w:space="0" w:color="auto"/>
                <w:right w:val="none" w:sz="0" w:space="0" w:color="auto"/>
              </w:divBdr>
            </w:div>
          </w:divsChild>
        </w:div>
        <w:div w:id="433744239">
          <w:marLeft w:val="-229"/>
          <w:marRight w:val="-229"/>
          <w:marTop w:val="0"/>
          <w:marBottom w:val="0"/>
          <w:divBdr>
            <w:top w:val="none" w:sz="0" w:space="0" w:color="auto"/>
            <w:left w:val="none" w:sz="0" w:space="0" w:color="auto"/>
            <w:bottom w:val="none" w:sz="0" w:space="0" w:color="auto"/>
            <w:right w:val="none" w:sz="0" w:space="0" w:color="auto"/>
          </w:divBdr>
          <w:divsChild>
            <w:div w:id="1661232222">
              <w:marLeft w:val="0"/>
              <w:marRight w:val="0"/>
              <w:marTop w:val="0"/>
              <w:marBottom w:val="0"/>
              <w:divBdr>
                <w:top w:val="none" w:sz="0" w:space="0" w:color="auto"/>
                <w:left w:val="none" w:sz="0" w:space="0" w:color="auto"/>
                <w:bottom w:val="none" w:sz="0" w:space="0" w:color="auto"/>
                <w:right w:val="none" w:sz="0" w:space="0" w:color="auto"/>
              </w:divBdr>
            </w:div>
          </w:divsChild>
        </w:div>
        <w:div w:id="1095902252">
          <w:marLeft w:val="-229"/>
          <w:marRight w:val="-229"/>
          <w:marTop w:val="0"/>
          <w:marBottom w:val="0"/>
          <w:divBdr>
            <w:top w:val="none" w:sz="0" w:space="0" w:color="auto"/>
            <w:left w:val="none" w:sz="0" w:space="0" w:color="auto"/>
            <w:bottom w:val="none" w:sz="0" w:space="0" w:color="auto"/>
            <w:right w:val="none" w:sz="0" w:space="0" w:color="auto"/>
          </w:divBdr>
          <w:divsChild>
            <w:div w:id="1819222884">
              <w:marLeft w:val="0"/>
              <w:marRight w:val="0"/>
              <w:marTop w:val="0"/>
              <w:marBottom w:val="0"/>
              <w:divBdr>
                <w:top w:val="none" w:sz="0" w:space="0" w:color="auto"/>
                <w:left w:val="none" w:sz="0" w:space="0" w:color="auto"/>
                <w:bottom w:val="none" w:sz="0" w:space="0" w:color="auto"/>
                <w:right w:val="none" w:sz="0" w:space="0" w:color="auto"/>
              </w:divBdr>
            </w:div>
          </w:divsChild>
        </w:div>
        <w:div w:id="643631325">
          <w:marLeft w:val="-229"/>
          <w:marRight w:val="-229"/>
          <w:marTop w:val="0"/>
          <w:marBottom w:val="0"/>
          <w:divBdr>
            <w:top w:val="none" w:sz="0" w:space="0" w:color="auto"/>
            <w:left w:val="none" w:sz="0" w:space="0" w:color="auto"/>
            <w:bottom w:val="none" w:sz="0" w:space="0" w:color="auto"/>
            <w:right w:val="none" w:sz="0" w:space="0" w:color="auto"/>
          </w:divBdr>
          <w:divsChild>
            <w:div w:id="1237132862">
              <w:marLeft w:val="0"/>
              <w:marRight w:val="0"/>
              <w:marTop w:val="0"/>
              <w:marBottom w:val="0"/>
              <w:divBdr>
                <w:top w:val="none" w:sz="0" w:space="0" w:color="auto"/>
                <w:left w:val="none" w:sz="0" w:space="0" w:color="auto"/>
                <w:bottom w:val="none" w:sz="0" w:space="0" w:color="auto"/>
                <w:right w:val="none" w:sz="0" w:space="0" w:color="auto"/>
              </w:divBdr>
            </w:div>
          </w:divsChild>
        </w:div>
        <w:div w:id="1926106229">
          <w:marLeft w:val="-229"/>
          <w:marRight w:val="-229"/>
          <w:marTop w:val="0"/>
          <w:marBottom w:val="0"/>
          <w:divBdr>
            <w:top w:val="none" w:sz="0" w:space="0" w:color="auto"/>
            <w:left w:val="none" w:sz="0" w:space="0" w:color="auto"/>
            <w:bottom w:val="none" w:sz="0" w:space="0" w:color="auto"/>
            <w:right w:val="none" w:sz="0" w:space="0" w:color="auto"/>
          </w:divBdr>
          <w:divsChild>
            <w:div w:id="88358612">
              <w:marLeft w:val="0"/>
              <w:marRight w:val="0"/>
              <w:marTop w:val="0"/>
              <w:marBottom w:val="0"/>
              <w:divBdr>
                <w:top w:val="none" w:sz="0" w:space="0" w:color="auto"/>
                <w:left w:val="none" w:sz="0" w:space="0" w:color="auto"/>
                <w:bottom w:val="none" w:sz="0" w:space="0" w:color="auto"/>
                <w:right w:val="none" w:sz="0" w:space="0" w:color="auto"/>
              </w:divBdr>
            </w:div>
          </w:divsChild>
        </w:div>
        <w:div w:id="1565141684">
          <w:marLeft w:val="-229"/>
          <w:marRight w:val="-229"/>
          <w:marTop w:val="0"/>
          <w:marBottom w:val="0"/>
          <w:divBdr>
            <w:top w:val="none" w:sz="0" w:space="0" w:color="auto"/>
            <w:left w:val="none" w:sz="0" w:space="0" w:color="auto"/>
            <w:bottom w:val="none" w:sz="0" w:space="0" w:color="auto"/>
            <w:right w:val="none" w:sz="0" w:space="0" w:color="auto"/>
          </w:divBdr>
          <w:divsChild>
            <w:div w:id="1700352402">
              <w:marLeft w:val="0"/>
              <w:marRight w:val="0"/>
              <w:marTop w:val="0"/>
              <w:marBottom w:val="0"/>
              <w:divBdr>
                <w:top w:val="none" w:sz="0" w:space="0" w:color="auto"/>
                <w:left w:val="none" w:sz="0" w:space="0" w:color="auto"/>
                <w:bottom w:val="none" w:sz="0" w:space="0" w:color="auto"/>
                <w:right w:val="none" w:sz="0" w:space="0" w:color="auto"/>
              </w:divBdr>
            </w:div>
          </w:divsChild>
        </w:div>
        <w:div w:id="1493327789">
          <w:marLeft w:val="-229"/>
          <w:marRight w:val="-229"/>
          <w:marTop w:val="0"/>
          <w:marBottom w:val="0"/>
          <w:divBdr>
            <w:top w:val="none" w:sz="0" w:space="0" w:color="auto"/>
            <w:left w:val="none" w:sz="0" w:space="0" w:color="auto"/>
            <w:bottom w:val="none" w:sz="0" w:space="0" w:color="auto"/>
            <w:right w:val="none" w:sz="0" w:space="0" w:color="auto"/>
          </w:divBdr>
          <w:divsChild>
            <w:div w:id="1415129734">
              <w:marLeft w:val="0"/>
              <w:marRight w:val="0"/>
              <w:marTop w:val="0"/>
              <w:marBottom w:val="0"/>
              <w:divBdr>
                <w:top w:val="none" w:sz="0" w:space="0" w:color="auto"/>
                <w:left w:val="none" w:sz="0" w:space="0" w:color="auto"/>
                <w:bottom w:val="none" w:sz="0" w:space="0" w:color="auto"/>
                <w:right w:val="none" w:sz="0" w:space="0" w:color="auto"/>
              </w:divBdr>
            </w:div>
          </w:divsChild>
        </w:div>
        <w:div w:id="1205141818">
          <w:marLeft w:val="-229"/>
          <w:marRight w:val="-229"/>
          <w:marTop w:val="0"/>
          <w:marBottom w:val="0"/>
          <w:divBdr>
            <w:top w:val="none" w:sz="0" w:space="0" w:color="auto"/>
            <w:left w:val="none" w:sz="0" w:space="0" w:color="auto"/>
            <w:bottom w:val="none" w:sz="0" w:space="0" w:color="auto"/>
            <w:right w:val="none" w:sz="0" w:space="0" w:color="auto"/>
          </w:divBdr>
          <w:divsChild>
            <w:div w:id="579948932">
              <w:marLeft w:val="0"/>
              <w:marRight w:val="0"/>
              <w:marTop w:val="0"/>
              <w:marBottom w:val="0"/>
              <w:divBdr>
                <w:top w:val="none" w:sz="0" w:space="0" w:color="auto"/>
                <w:left w:val="none" w:sz="0" w:space="0" w:color="auto"/>
                <w:bottom w:val="none" w:sz="0" w:space="0" w:color="auto"/>
                <w:right w:val="none" w:sz="0" w:space="0" w:color="auto"/>
              </w:divBdr>
            </w:div>
          </w:divsChild>
        </w:div>
        <w:div w:id="130052766">
          <w:marLeft w:val="-229"/>
          <w:marRight w:val="-229"/>
          <w:marTop w:val="0"/>
          <w:marBottom w:val="0"/>
          <w:divBdr>
            <w:top w:val="none" w:sz="0" w:space="0" w:color="auto"/>
            <w:left w:val="none" w:sz="0" w:space="0" w:color="auto"/>
            <w:bottom w:val="none" w:sz="0" w:space="0" w:color="auto"/>
            <w:right w:val="none" w:sz="0" w:space="0" w:color="auto"/>
          </w:divBdr>
          <w:divsChild>
            <w:div w:id="364646868">
              <w:marLeft w:val="0"/>
              <w:marRight w:val="0"/>
              <w:marTop w:val="0"/>
              <w:marBottom w:val="0"/>
              <w:divBdr>
                <w:top w:val="none" w:sz="0" w:space="0" w:color="auto"/>
                <w:left w:val="none" w:sz="0" w:space="0" w:color="auto"/>
                <w:bottom w:val="none" w:sz="0" w:space="0" w:color="auto"/>
                <w:right w:val="none" w:sz="0" w:space="0" w:color="auto"/>
              </w:divBdr>
            </w:div>
          </w:divsChild>
        </w:div>
        <w:div w:id="1557665193">
          <w:marLeft w:val="-229"/>
          <w:marRight w:val="-229"/>
          <w:marTop w:val="0"/>
          <w:marBottom w:val="0"/>
          <w:divBdr>
            <w:top w:val="none" w:sz="0" w:space="0" w:color="auto"/>
            <w:left w:val="none" w:sz="0" w:space="0" w:color="auto"/>
            <w:bottom w:val="none" w:sz="0" w:space="0" w:color="auto"/>
            <w:right w:val="none" w:sz="0" w:space="0" w:color="auto"/>
          </w:divBdr>
          <w:divsChild>
            <w:div w:id="1134836712">
              <w:marLeft w:val="0"/>
              <w:marRight w:val="0"/>
              <w:marTop w:val="0"/>
              <w:marBottom w:val="0"/>
              <w:divBdr>
                <w:top w:val="none" w:sz="0" w:space="0" w:color="auto"/>
                <w:left w:val="none" w:sz="0" w:space="0" w:color="auto"/>
                <w:bottom w:val="none" w:sz="0" w:space="0" w:color="auto"/>
                <w:right w:val="none" w:sz="0" w:space="0" w:color="auto"/>
              </w:divBdr>
            </w:div>
          </w:divsChild>
        </w:div>
        <w:div w:id="332226308">
          <w:marLeft w:val="-229"/>
          <w:marRight w:val="-229"/>
          <w:marTop w:val="0"/>
          <w:marBottom w:val="0"/>
          <w:divBdr>
            <w:top w:val="none" w:sz="0" w:space="0" w:color="auto"/>
            <w:left w:val="none" w:sz="0" w:space="0" w:color="auto"/>
            <w:bottom w:val="none" w:sz="0" w:space="0" w:color="auto"/>
            <w:right w:val="none" w:sz="0" w:space="0" w:color="auto"/>
          </w:divBdr>
          <w:divsChild>
            <w:div w:id="258753758">
              <w:marLeft w:val="0"/>
              <w:marRight w:val="0"/>
              <w:marTop w:val="0"/>
              <w:marBottom w:val="0"/>
              <w:divBdr>
                <w:top w:val="none" w:sz="0" w:space="0" w:color="auto"/>
                <w:left w:val="none" w:sz="0" w:space="0" w:color="auto"/>
                <w:bottom w:val="none" w:sz="0" w:space="0" w:color="auto"/>
                <w:right w:val="none" w:sz="0" w:space="0" w:color="auto"/>
              </w:divBdr>
            </w:div>
          </w:divsChild>
        </w:div>
        <w:div w:id="1359235916">
          <w:marLeft w:val="-229"/>
          <w:marRight w:val="-229"/>
          <w:marTop w:val="0"/>
          <w:marBottom w:val="0"/>
          <w:divBdr>
            <w:top w:val="none" w:sz="0" w:space="0" w:color="auto"/>
            <w:left w:val="none" w:sz="0" w:space="0" w:color="auto"/>
            <w:bottom w:val="none" w:sz="0" w:space="0" w:color="auto"/>
            <w:right w:val="none" w:sz="0" w:space="0" w:color="auto"/>
          </w:divBdr>
          <w:divsChild>
            <w:div w:id="1072853332">
              <w:marLeft w:val="0"/>
              <w:marRight w:val="0"/>
              <w:marTop w:val="0"/>
              <w:marBottom w:val="0"/>
              <w:divBdr>
                <w:top w:val="none" w:sz="0" w:space="0" w:color="auto"/>
                <w:left w:val="none" w:sz="0" w:space="0" w:color="auto"/>
                <w:bottom w:val="none" w:sz="0" w:space="0" w:color="auto"/>
                <w:right w:val="none" w:sz="0" w:space="0" w:color="auto"/>
              </w:divBdr>
            </w:div>
          </w:divsChild>
        </w:div>
        <w:div w:id="741875234">
          <w:marLeft w:val="-229"/>
          <w:marRight w:val="-229"/>
          <w:marTop w:val="0"/>
          <w:marBottom w:val="0"/>
          <w:divBdr>
            <w:top w:val="none" w:sz="0" w:space="0" w:color="auto"/>
            <w:left w:val="none" w:sz="0" w:space="0" w:color="auto"/>
            <w:bottom w:val="none" w:sz="0" w:space="0" w:color="auto"/>
            <w:right w:val="none" w:sz="0" w:space="0" w:color="auto"/>
          </w:divBdr>
          <w:divsChild>
            <w:div w:id="1344817779">
              <w:marLeft w:val="0"/>
              <w:marRight w:val="0"/>
              <w:marTop w:val="0"/>
              <w:marBottom w:val="0"/>
              <w:divBdr>
                <w:top w:val="none" w:sz="0" w:space="0" w:color="auto"/>
                <w:left w:val="none" w:sz="0" w:space="0" w:color="auto"/>
                <w:bottom w:val="none" w:sz="0" w:space="0" w:color="auto"/>
                <w:right w:val="none" w:sz="0" w:space="0" w:color="auto"/>
              </w:divBdr>
            </w:div>
          </w:divsChild>
        </w:div>
        <w:div w:id="1530099330">
          <w:marLeft w:val="-229"/>
          <w:marRight w:val="-229"/>
          <w:marTop w:val="0"/>
          <w:marBottom w:val="0"/>
          <w:divBdr>
            <w:top w:val="none" w:sz="0" w:space="0" w:color="auto"/>
            <w:left w:val="none" w:sz="0" w:space="0" w:color="auto"/>
            <w:bottom w:val="none" w:sz="0" w:space="0" w:color="auto"/>
            <w:right w:val="none" w:sz="0" w:space="0" w:color="auto"/>
          </w:divBdr>
          <w:divsChild>
            <w:div w:id="64452075">
              <w:marLeft w:val="0"/>
              <w:marRight w:val="0"/>
              <w:marTop w:val="0"/>
              <w:marBottom w:val="0"/>
              <w:divBdr>
                <w:top w:val="none" w:sz="0" w:space="0" w:color="auto"/>
                <w:left w:val="none" w:sz="0" w:space="0" w:color="auto"/>
                <w:bottom w:val="none" w:sz="0" w:space="0" w:color="auto"/>
                <w:right w:val="none" w:sz="0" w:space="0" w:color="auto"/>
              </w:divBdr>
            </w:div>
          </w:divsChild>
        </w:div>
        <w:div w:id="93913173">
          <w:marLeft w:val="-229"/>
          <w:marRight w:val="-229"/>
          <w:marTop w:val="0"/>
          <w:marBottom w:val="0"/>
          <w:divBdr>
            <w:top w:val="none" w:sz="0" w:space="0" w:color="auto"/>
            <w:left w:val="none" w:sz="0" w:space="0" w:color="auto"/>
            <w:bottom w:val="none" w:sz="0" w:space="0" w:color="auto"/>
            <w:right w:val="none" w:sz="0" w:space="0" w:color="auto"/>
          </w:divBdr>
          <w:divsChild>
            <w:div w:id="276107062">
              <w:marLeft w:val="0"/>
              <w:marRight w:val="0"/>
              <w:marTop w:val="0"/>
              <w:marBottom w:val="0"/>
              <w:divBdr>
                <w:top w:val="none" w:sz="0" w:space="0" w:color="auto"/>
                <w:left w:val="none" w:sz="0" w:space="0" w:color="auto"/>
                <w:bottom w:val="none" w:sz="0" w:space="0" w:color="auto"/>
                <w:right w:val="none" w:sz="0" w:space="0" w:color="auto"/>
              </w:divBdr>
            </w:div>
          </w:divsChild>
        </w:div>
        <w:div w:id="2028021292">
          <w:marLeft w:val="-229"/>
          <w:marRight w:val="-229"/>
          <w:marTop w:val="0"/>
          <w:marBottom w:val="0"/>
          <w:divBdr>
            <w:top w:val="none" w:sz="0" w:space="0" w:color="auto"/>
            <w:left w:val="none" w:sz="0" w:space="0" w:color="auto"/>
            <w:bottom w:val="none" w:sz="0" w:space="0" w:color="auto"/>
            <w:right w:val="none" w:sz="0" w:space="0" w:color="auto"/>
          </w:divBdr>
          <w:divsChild>
            <w:div w:id="1422603207">
              <w:marLeft w:val="0"/>
              <w:marRight w:val="0"/>
              <w:marTop w:val="0"/>
              <w:marBottom w:val="0"/>
              <w:divBdr>
                <w:top w:val="none" w:sz="0" w:space="0" w:color="auto"/>
                <w:left w:val="none" w:sz="0" w:space="0" w:color="auto"/>
                <w:bottom w:val="none" w:sz="0" w:space="0" w:color="auto"/>
                <w:right w:val="none" w:sz="0" w:space="0" w:color="auto"/>
              </w:divBdr>
            </w:div>
          </w:divsChild>
        </w:div>
        <w:div w:id="1683312141">
          <w:marLeft w:val="-229"/>
          <w:marRight w:val="-229"/>
          <w:marTop w:val="0"/>
          <w:marBottom w:val="0"/>
          <w:divBdr>
            <w:top w:val="none" w:sz="0" w:space="0" w:color="auto"/>
            <w:left w:val="none" w:sz="0" w:space="0" w:color="auto"/>
            <w:bottom w:val="none" w:sz="0" w:space="0" w:color="auto"/>
            <w:right w:val="none" w:sz="0" w:space="0" w:color="auto"/>
          </w:divBdr>
          <w:divsChild>
            <w:div w:id="136773664">
              <w:marLeft w:val="0"/>
              <w:marRight w:val="0"/>
              <w:marTop w:val="0"/>
              <w:marBottom w:val="0"/>
              <w:divBdr>
                <w:top w:val="none" w:sz="0" w:space="0" w:color="auto"/>
                <w:left w:val="none" w:sz="0" w:space="0" w:color="auto"/>
                <w:bottom w:val="none" w:sz="0" w:space="0" w:color="auto"/>
                <w:right w:val="none" w:sz="0" w:space="0" w:color="auto"/>
              </w:divBdr>
            </w:div>
          </w:divsChild>
        </w:div>
        <w:div w:id="1438018365">
          <w:marLeft w:val="-229"/>
          <w:marRight w:val="-229"/>
          <w:marTop w:val="0"/>
          <w:marBottom w:val="0"/>
          <w:divBdr>
            <w:top w:val="none" w:sz="0" w:space="0" w:color="auto"/>
            <w:left w:val="none" w:sz="0" w:space="0" w:color="auto"/>
            <w:bottom w:val="none" w:sz="0" w:space="0" w:color="auto"/>
            <w:right w:val="none" w:sz="0" w:space="0" w:color="auto"/>
          </w:divBdr>
          <w:divsChild>
            <w:div w:id="1786457894">
              <w:marLeft w:val="0"/>
              <w:marRight w:val="0"/>
              <w:marTop w:val="0"/>
              <w:marBottom w:val="0"/>
              <w:divBdr>
                <w:top w:val="none" w:sz="0" w:space="0" w:color="auto"/>
                <w:left w:val="none" w:sz="0" w:space="0" w:color="auto"/>
                <w:bottom w:val="none" w:sz="0" w:space="0" w:color="auto"/>
                <w:right w:val="none" w:sz="0" w:space="0" w:color="auto"/>
              </w:divBdr>
            </w:div>
          </w:divsChild>
        </w:div>
        <w:div w:id="2146501111">
          <w:marLeft w:val="-229"/>
          <w:marRight w:val="-229"/>
          <w:marTop w:val="0"/>
          <w:marBottom w:val="0"/>
          <w:divBdr>
            <w:top w:val="none" w:sz="0" w:space="0" w:color="auto"/>
            <w:left w:val="none" w:sz="0" w:space="0" w:color="auto"/>
            <w:bottom w:val="none" w:sz="0" w:space="0" w:color="auto"/>
            <w:right w:val="none" w:sz="0" w:space="0" w:color="auto"/>
          </w:divBdr>
          <w:divsChild>
            <w:div w:id="619382254">
              <w:marLeft w:val="0"/>
              <w:marRight w:val="0"/>
              <w:marTop w:val="0"/>
              <w:marBottom w:val="0"/>
              <w:divBdr>
                <w:top w:val="none" w:sz="0" w:space="0" w:color="auto"/>
                <w:left w:val="none" w:sz="0" w:space="0" w:color="auto"/>
                <w:bottom w:val="none" w:sz="0" w:space="0" w:color="auto"/>
                <w:right w:val="none" w:sz="0" w:space="0" w:color="auto"/>
              </w:divBdr>
            </w:div>
          </w:divsChild>
        </w:div>
        <w:div w:id="458647399">
          <w:marLeft w:val="-229"/>
          <w:marRight w:val="-229"/>
          <w:marTop w:val="0"/>
          <w:marBottom w:val="0"/>
          <w:divBdr>
            <w:top w:val="none" w:sz="0" w:space="0" w:color="auto"/>
            <w:left w:val="none" w:sz="0" w:space="0" w:color="auto"/>
            <w:bottom w:val="none" w:sz="0" w:space="0" w:color="auto"/>
            <w:right w:val="none" w:sz="0" w:space="0" w:color="auto"/>
          </w:divBdr>
          <w:divsChild>
            <w:div w:id="1795324734">
              <w:marLeft w:val="0"/>
              <w:marRight w:val="0"/>
              <w:marTop w:val="0"/>
              <w:marBottom w:val="0"/>
              <w:divBdr>
                <w:top w:val="none" w:sz="0" w:space="0" w:color="auto"/>
                <w:left w:val="none" w:sz="0" w:space="0" w:color="auto"/>
                <w:bottom w:val="none" w:sz="0" w:space="0" w:color="auto"/>
                <w:right w:val="none" w:sz="0" w:space="0" w:color="auto"/>
              </w:divBdr>
            </w:div>
          </w:divsChild>
        </w:div>
        <w:div w:id="2123071099">
          <w:marLeft w:val="-229"/>
          <w:marRight w:val="-229"/>
          <w:marTop w:val="0"/>
          <w:marBottom w:val="0"/>
          <w:divBdr>
            <w:top w:val="none" w:sz="0" w:space="0" w:color="auto"/>
            <w:left w:val="none" w:sz="0" w:space="0" w:color="auto"/>
            <w:bottom w:val="none" w:sz="0" w:space="0" w:color="auto"/>
            <w:right w:val="none" w:sz="0" w:space="0" w:color="auto"/>
          </w:divBdr>
          <w:divsChild>
            <w:div w:id="139003227">
              <w:marLeft w:val="0"/>
              <w:marRight w:val="0"/>
              <w:marTop w:val="0"/>
              <w:marBottom w:val="0"/>
              <w:divBdr>
                <w:top w:val="none" w:sz="0" w:space="0" w:color="auto"/>
                <w:left w:val="none" w:sz="0" w:space="0" w:color="auto"/>
                <w:bottom w:val="none" w:sz="0" w:space="0" w:color="auto"/>
                <w:right w:val="none" w:sz="0" w:space="0" w:color="auto"/>
              </w:divBdr>
            </w:div>
          </w:divsChild>
        </w:div>
        <w:div w:id="182256578">
          <w:marLeft w:val="-229"/>
          <w:marRight w:val="-229"/>
          <w:marTop w:val="0"/>
          <w:marBottom w:val="0"/>
          <w:divBdr>
            <w:top w:val="none" w:sz="0" w:space="0" w:color="auto"/>
            <w:left w:val="none" w:sz="0" w:space="0" w:color="auto"/>
            <w:bottom w:val="none" w:sz="0" w:space="0" w:color="auto"/>
            <w:right w:val="none" w:sz="0" w:space="0" w:color="auto"/>
          </w:divBdr>
          <w:divsChild>
            <w:div w:id="1918518467">
              <w:marLeft w:val="0"/>
              <w:marRight w:val="0"/>
              <w:marTop w:val="0"/>
              <w:marBottom w:val="0"/>
              <w:divBdr>
                <w:top w:val="none" w:sz="0" w:space="0" w:color="auto"/>
                <w:left w:val="none" w:sz="0" w:space="0" w:color="auto"/>
                <w:bottom w:val="none" w:sz="0" w:space="0" w:color="auto"/>
                <w:right w:val="none" w:sz="0" w:space="0" w:color="auto"/>
              </w:divBdr>
            </w:div>
          </w:divsChild>
        </w:div>
        <w:div w:id="1392970966">
          <w:marLeft w:val="-229"/>
          <w:marRight w:val="-229"/>
          <w:marTop w:val="0"/>
          <w:marBottom w:val="0"/>
          <w:divBdr>
            <w:top w:val="none" w:sz="0" w:space="0" w:color="auto"/>
            <w:left w:val="none" w:sz="0" w:space="0" w:color="auto"/>
            <w:bottom w:val="none" w:sz="0" w:space="0" w:color="auto"/>
            <w:right w:val="none" w:sz="0" w:space="0" w:color="auto"/>
          </w:divBdr>
          <w:divsChild>
            <w:div w:id="86771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817</Words>
  <Characters>4658</Characters>
  <Application>Microsoft Office Word</Application>
  <DocSecurity>0</DocSecurity>
  <Lines>38</Lines>
  <Paragraphs>10</Paragraphs>
  <ScaleCrop>false</ScaleCrop>
  <Company>Microsoft</Company>
  <LinksUpToDate>false</LinksUpToDate>
  <CharactersWithSpaces>5465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PENGFEI</cp:lastModifiedBy>
  <cp:revision>2</cp:revision>
  <dcterms:created xsi:type="dcterms:W3CDTF">2019-05-16T05:13:00Z</dcterms:created>
  <dcterms:modified xsi:type="dcterms:W3CDTF">2019-05-16T05:13:00Z</dcterms:modified>
</cp:coreProperties>
</file>