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7" w:beforeLines="50" w:after="217" w:afterLines="50" w:line="400" w:lineRule="exact"/>
        <w:jc w:val="center"/>
        <w:rPr>
          <w:rFonts w:ascii="方正小标宋简体" w:eastAsia="方正小标宋简体"/>
          <w:bCs/>
          <w:szCs w:val="21"/>
        </w:rPr>
      </w:pPr>
      <w:r>
        <w:rPr>
          <w:rFonts w:hint="eastAsia" w:ascii="方正小标宋简体" w:eastAsia="方正小标宋简体"/>
          <w:bCs/>
          <w:sz w:val="36"/>
          <w:szCs w:val="21"/>
        </w:rPr>
        <w:t>2020年度国家自然科学奖提名公示信息</w:t>
      </w:r>
      <w:bookmarkStart w:id="0" w:name="_GoBack"/>
      <w:bookmarkEnd w:id="0"/>
    </w:p>
    <w:tbl>
      <w:tblPr>
        <w:tblStyle w:val="7"/>
        <w:tblpPr w:leftFromText="180" w:rightFromText="180" w:vertAnchor="text" w:horzAnchor="page" w:tblpX="1605" w:tblpY="616"/>
        <w:tblOverlap w:val="never"/>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747"/>
        <w:gridCol w:w="1276"/>
        <w:gridCol w:w="478"/>
        <w:gridCol w:w="1081"/>
        <w:gridCol w:w="733"/>
        <w:gridCol w:w="826"/>
        <w:gridCol w:w="349"/>
        <w:gridCol w:w="1211"/>
        <w:gridCol w:w="283"/>
        <w:gridCol w:w="871"/>
        <w:gridCol w:w="1241"/>
        <w:gridCol w:w="1211"/>
        <w:gridCol w:w="1209"/>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413" w:type="dxa"/>
            <w:gridSpan w:val="2"/>
            <w:vAlign w:val="center"/>
          </w:tcPr>
          <w:p>
            <w:pPr>
              <w:spacing w:line="280" w:lineRule="exact"/>
              <w:jc w:val="center"/>
              <w:rPr>
                <w:rFonts w:ascii="黑体" w:hAnsi="黑体" w:eastAsia="黑体" w:cs="黑体"/>
                <w:kern w:val="0"/>
                <w:sz w:val="22"/>
                <w:szCs w:val="20"/>
              </w:rPr>
            </w:pPr>
            <w:r>
              <w:rPr>
                <w:rFonts w:hint="eastAsia" w:ascii="黑体" w:hAnsi="黑体" w:eastAsia="黑体" w:cs="黑体"/>
                <w:kern w:val="0"/>
                <w:sz w:val="22"/>
                <w:szCs w:val="20"/>
              </w:rPr>
              <w:t>项目名称</w:t>
            </w:r>
          </w:p>
        </w:tc>
        <w:tc>
          <w:tcPr>
            <w:tcW w:w="12193" w:type="dxa"/>
            <w:gridSpan w:val="13"/>
            <w:vAlign w:val="center"/>
          </w:tcPr>
          <w:p>
            <w:pPr>
              <w:spacing w:line="280" w:lineRule="exact"/>
              <w:jc w:val="center"/>
              <w:rPr>
                <w:rFonts w:ascii="黑体" w:hAnsi="黑体" w:eastAsia="黑体" w:cs="黑体"/>
                <w:kern w:val="0"/>
                <w:sz w:val="24"/>
                <w:szCs w:val="24"/>
              </w:rPr>
            </w:pPr>
            <w:r>
              <w:rPr>
                <w:rFonts w:hint="eastAsia" w:ascii="黑体" w:hAnsi="黑体" w:eastAsia="黑体" w:cs="黑体"/>
                <w:kern w:val="0"/>
                <w:sz w:val="24"/>
                <w:szCs w:val="24"/>
              </w:rPr>
              <w:t>纺织复合材料冲击破坏的结构、温度和应变率效应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413" w:type="dxa"/>
            <w:gridSpan w:val="2"/>
            <w:vAlign w:val="center"/>
          </w:tcPr>
          <w:p>
            <w:pPr>
              <w:spacing w:line="280" w:lineRule="exact"/>
              <w:jc w:val="center"/>
              <w:rPr>
                <w:rFonts w:ascii="黑体" w:hAnsi="黑体" w:eastAsia="黑体" w:cs="黑体"/>
                <w:kern w:val="0"/>
                <w:sz w:val="22"/>
                <w:szCs w:val="20"/>
              </w:rPr>
            </w:pPr>
            <w:r>
              <w:rPr>
                <w:rFonts w:hint="eastAsia" w:ascii="黑体" w:hAnsi="黑体" w:eastAsia="黑体" w:cs="黑体"/>
                <w:kern w:val="0"/>
                <w:sz w:val="22"/>
                <w:szCs w:val="20"/>
              </w:rPr>
              <w:t>提名单位</w:t>
            </w:r>
          </w:p>
        </w:tc>
        <w:tc>
          <w:tcPr>
            <w:tcW w:w="12193" w:type="dxa"/>
            <w:gridSpan w:val="13"/>
            <w:vAlign w:val="center"/>
          </w:tcPr>
          <w:p>
            <w:pPr>
              <w:spacing w:line="280" w:lineRule="exact"/>
              <w:jc w:val="center"/>
              <w:rPr>
                <w:rFonts w:cs="Times New Roman"/>
                <w:kern w:val="0"/>
                <w:sz w:val="24"/>
                <w:szCs w:val="24"/>
              </w:rPr>
            </w:pPr>
            <w:r>
              <w:rPr>
                <w:rFonts w:hint="eastAsia" w:cs="Times New Roman"/>
                <w:kern w:val="0"/>
                <w:sz w:val="24"/>
                <w:szCs w:val="24"/>
              </w:rPr>
              <w:t>东华大学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trPr>
        <w:tc>
          <w:tcPr>
            <w:tcW w:w="1413" w:type="dxa"/>
            <w:gridSpan w:val="2"/>
            <w:vAlign w:val="center"/>
          </w:tcPr>
          <w:p>
            <w:pPr>
              <w:spacing w:line="280" w:lineRule="exact"/>
              <w:jc w:val="center"/>
              <w:rPr>
                <w:rFonts w:ascii="黑体" w:hAnsi="黑体" w:eastAsia="黑体" w:cs="黑体"/>
                <w:kern w:val="0"/>
                <w:sz w:val="22"/>
                <w:szCs w:val="20"/>
              </w:rPr>
            </w:pPr>
            <w:r>
              <w:rPr>
                <w:rFonts w:hint="eastAsia" w:ascii="黑体" w:hAnsi="黑体" w:eastAsia="黑体" w:cs="黑体"/>
                <w:kern w:val="0"/>
                <w:sz w:val="22"/>
                <w:szCs w:val="20"/>
              </w:rPr>
              <w:t>提名意见</w:t>
            </w:r>
          </w:p>
        </w:tc>
        <w:tc>
          <w:tcPr>
            <w:tcW w:w="12193" w:type="dxa"/>
            <w:gridSpan w:val="13"/>
            <w:vAlign w:val="center"/>
          </w:tcPr>
          <w:p>
            <w:pPr>
              <w:spacing w:line="280" w:lineRule="exact"/>
              <w:ind w:firstLine="420" w:firstLineChars="200"/>
              <w:jc w:val="both"/>
              <w:rPr>
                <w:rFonts w:hint="eastAsia" w:cs="Times New Roman"/>
                <w:bCs/>
                <w:color w:val="000000"/>
                <w:kern w:val="0"/>
                <w:sz w:val="21"/>
                <w:szCs w:val="21"/>
                <w:lang w:bidi="ar"/>
              </w:rPr>
            </w:pPr>
            <w:r>
              <w:rPr>
                <w:rFonts w:hint="eastAsia" w:cs="Times New Roman"/>
                <w:bCs/>
                <w:color w:val="000000"/>
                <w:kern w:val="0"/>
                <w:sz w:val="21"/>
                <w:szCs w:val="21"/>
                <w:lang w:bidi="ar"/>
              </w:rPr>
              <w:t>三维纺织复合材料具有比二维层压复合材料更高的冲击损伤容限，在飞行器和弹道防护材料等涉及冲击加载或高频加载等场合中有极大的应用潜力，深入理解纺织复合材料冲击破坏的结构、温度和应变率是复合材料抗冲击设计关键因素之一。该项目研究各类纺织复合材料（尤其是三维纺织结构）的冲击变形和破坏，包括冲击破坏的多尺度几何结构机理、冲击加载过程中的热力耦合效应和材料力学性质应变率效应。发现了冲击加载下刚性与柔性纺织复合材料内部应力分布和能量吸收与多尺度几何结构的关系、复合材料热传导性质和冲击加载绝热剪切所导致的局部温升及力学性质降解、纤维织物和复合材料力学性质的应变率效应及结构稳定性。</w:t>
            </w:r>
          </w:p>
          <w:p>
            <w:pPr>
              <w:spacing w:line="280" w:lineRule="exact"/>
              <w:ind w:firstLine="420" w:firstLineChars="200"/>
              <w:jc w:val="both"/>
              <w:rPr>
                <w:rFonts w:hint="eastAsia" w:cs="Times New Roman"/>
                <w:bCs/>
                <w:color w:val="000000"/>
                <w:kern w:val="0"/>
                <w:sz w:val="21"/>
                <w:szCs w:val="21"/>
                <w:lang w:bidi="ar"/>
              </w:rPr>
            </w:pPr>
            <w:r>
              <w:rPr>
                <w:rFonts w:hint="eastAsia" w:cs="Times New Roman"/>
                <w:bCs/>
                <w:color w:val="000000"/>
                <w:kern w:val="0"/>
                <w:sz w:val="21"/>
                <w:szCs w:val="21"/>
                <w:lang w:bidi="ar"/>
              </w:rPr>
              <w:t xml:space="preserve">该项目至2017年发表国际同行评审期刊论文主要有65篇，包括纺织领域期刊Text. Res. J.和J. Text. Inst.，复合材料领域期刊Compos. Sci. Technol., Compos. Part A, Compos. Part B, Compos. Struct., 复合材料学报，力学期刊Mech. Mater., Int. J. Solids Struct., Int. J. Impact Eng.，传热学期刊Int. J. Heat Mass. Tran.等。5篇代表作在SCIE数据库中他引102次，得到江雷院士、方岱宁院士等正面引用和评价，许多研究者基于该项目的方法继续开展进一步研究，也实质性地促进了纺织学科与力学、传热学的交叉发展。 </w:t>
            </w:r>
          </w:p>
          <w:p>
            <w:pPr>
              <w:spacing w:line="280" w:lineRule="exact"/>
              <w:ind w:firstLine="200"/>
              <w:jc w:val="both"/>
              <w:rPr>
                <w:rFonts w:ascii="宋体" w:hAnsi="宋体" w:eastAsia="宋体" w:cs="Times New Roman"/>
                <w:bCs/>
                <w:color w:val="000000"/>
                <w:kern w:val="0"/>
                <w:sz w:val="21"/>
                <w:szCs w:val="21"/>
                <w:lang w:bidi="ar"/>
              </w:rPr>
            </w:pPr>
            <w:r>
              <w:rPr>
                <w:rFonts w:hint="eastAsia" w:cs="Times New Roman"/>
                <w:bCs/>
                <w:color w:val="000000"/>
                <w:kern w:val="0"/>
                <w:sz w:val="21"/>
                <w:szCs w:val="21"/>
                <w:lang w:bidi="ar"/>
              </w:rPr>
              <w:t>提名该项目为自然科学奖一等奖。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413" w:type="dxa"/>
            <w:gridSpan w:val="2"/>
            <w:vAlign w:val="center"/>
          </w:tcPr>
          <w:p>
            <w:pPr>
              <w:spacing w:line="280" w:lineRule="exact"/>
              <w:jc w:val="center"/>
              <w:rPr>
                <w:rFonts w:cs="Times New Roman"/>
                <w:kern w:val="0"/>
                <w:sz w:val="22"/>
                <w:szCs w:val="20"/>
              </w:rPr>
            </w:pPr>
            <w:r>
              <w:rPr>
                <w:rFonts w:hint="eastAsia" w:ascii="黑体" w:hAnsi="黑体" w:eastAsia="黑体" w:cs="黑体"/>
                <w:kern w:val="0"/>
                <w:sz w:val="22"/>
                <w:szCs w:val="20"/>
              </w:rPr>
              <w:t>项目简介</w:t>
            </w:r>
          </w:p>
        </w:tc>
        <w:tc>
          <w:tcPr>
            <w:tcW w:w="12193" w:type="dxa"/>
            <w:gridSpan w:val="13"/>
            <w:vAlign w:val="center"/>
          </w:tcPr>
          <w:p>
            <w:pPr>
              <w:spacing w:line="280" w:lineRule="exact"/>
              <w:ind w:firstLine="420" w:firstLineChars="200"/>
              <w:rPr>
                <w:rFonts w:cs="Times New Roman"/>
                <w:kern w:val="0"/>
                <w:sz w:val="21"/>
                <w:szCs w:val="21"/>
              </w:rPr>
            </w:pPr>
            <w:r>
              <w:rPr>
                <w:rFonts w:hint="eastAsia" w:cs="Times New Roman"/>
                <w:kern w:val="0"/>
                <w:sz w:val="21"/>
                <w:szCs w:val="21"/>
              </w:rPr>
              <w:t>纺织结构复合材料多尺度几何结构、冲击绝热剪切热力耦合、材料力学性质的应变率效应是复合材料抗冲击设计的基础问题。纺织复合材料冲击加载破坏性质取决于复合材料细观结构和纤维</w:t>
            </w:r>
            <w:r>
              <w:rPr>
                <w:rFonts w:cs="Times New Roman"/>
                <w:kern w:val="0"/>
                <w:sz w:val="21"/>
                <w:szCs w:val="21"/>
              </w:rPr>
              <w:t>/</w:t>
            </w:r>
            <w:r>
              <w:rPr>
                <w:rFonts w:hint="eastAsia" w:cs="Times New Roman"/>
                <w:kern w:val="0"/>
                <w:sz w:val="21"/>
                <w:szCs w:val="21"/>
              </w:rPr>
              <w:t>基体种类，在纤维</w:t>
            </w:r>
            <w:r>
              <w:rPr>
                <w:rFonts w:cs="Times New Roman"/>
                <w:kern w:val="0"/>
                <w:sz w:val="21"/>
                <w:szCs w:val="21"/>
              </w:rPr>
              <w:t>/</w:t>
            </w:r>
            <w:r>
              <w:rPr>
                <w:rFonts w:hint="eastAsia" w:cs="Times New Roman"/>
                <w:kern w:val="0"/>
                <w:sz w:val="21"/>
                <w:szCs w:val="21"/>
              </w:rPr>
              <w:t>基体种类有限的条件下，种类繁多的预成型体结构为提高复合材料冲击强度提供了大量设计空间；复合材料热学性质和在冲击加载下局部绝热剪切所致的局域绝热</w:t>
            </w:r>
            <w:r>
              <w:rPr>
                <w:rFonts w:eastAsia="宋体" w:cs="Times New Roman"/>
                <w:kern w:val="0"/>
                <w:sz w:val="20"/>
                <w:szCs w:val="15"/>
              </w:rPr>
              <w:sym w:font="Wingdings" w:char="F0E0"/>
            </w:r>
            <w:r>
              <w:rPr>
                <w:rFonts w:hint="eastAsia" w:cs="Times New Roman"/>
                <w:kern w:val="0"/>
                <w:sz w:val="21"/>
                <w:szCs w:val="21"/>
              </w:rPr>
              <w:t>温升</w:t>
            </w:r>
            <w:r>
              <w:rPr>
                <w:rFonts w:eastAsia="宋体" w:cs="Times New Roman"/>
                <w:kern w:val="0"/>
                <w:sz w:val="20"/>
                <w:szCs w:val="15"/>
              </w:rPr>
              <w:sym w:font="Wingdings" w:char="F0E0"/>
            </w:r>
            <w:r>
              <w:rPr>
                <w:rFonts w:hint="eastAsia" w:cs="Times New Roman"/>
                <w:kern w:val="0"/>
                <w:sz w:val="21"/>
                <w:szCs w:val="21"/>
              </w:rPr>
              <w:t>软化响应和热力耦合效应将显著影响纺织复合材料抗冲击性能；纤维、织物和复合材料在冲击加载下呈现的应变率效应抗冲击设计的重要指标。该项目围绕上述关键内容开展研究：</w:t>
            </w:r>
            <w:r>
              <w:rPr>
                <w:rFonts w:cs="Times New Roman"/>
                <w:kern w:val="0"/>
                <w:sz w:val="21"/>
                <w:szCs w:val="21"/>
              </w:rPr>
              <w:t xml:space="preserve"> </w:t>
            </w:r>
          </w:p>
          <w:p>
            <w:pPr>
              <w:spacing w:line="280" w:lineRule="exact"/>
              <w:ind w:firstLine="420" w:firstLineChars="200"/>
              <w:rPr>
                <w:rFonts w:hint="eastAsia" w:cs="Times New Roman"/>
                <w:kern w:val="0"/>
                <w:sz w:val="21"/>
                <w:szCs w:val="21"/>
              </w:rPr>
            </w:pPr>
            <w:r>
              <w:rPr>
                <w:rFonts w:hint="eastAsia" w:cs="Times New Roman"/>
                <w:kern w:val="0"/>
                <w:sz w:val="21"/>
                <w:szCs w:val="21"/>
              </w:rPr>
              <w:t>（1）结构效应：发展三维编织、机织、针织、混编复合材料大型精细化细观结构、系列化单胞结构等复合材料细观结构表征方法和指标，形成从单纤维、纤维束到宏观结构件的细观、中观和宏观的三维纺织结构复合材料特征库；基于三维纺织结构复合材料多尺度几何结构单胞库，创新性地把单向复合材料临界失效面积破坏准则扩展至三维纺织复合材料，构建三维纺织结构复合材料在动态加载条件下的破坏机理系统解释，得到系列化关于纺织结构复合材料细观结构特征与复合材料变形和损伤关系。研究织物和柔性复合材料弹道侵彻破坏机理，发现柔性材料冲击变形在纤维、纱线、单胞结构和宏观连续介质层面的冲击阻尼吸能和结构响应机制。</w:t>
            </w:r>
          </w:p>
          <w:p>
            <w:pPr>
              <w:spacing w:line="280" w:lineRule="exact"/>
              <w:ind w:firstLine="420" w:firstLineChars="200"/>
              <w:rPr>
                <w:rFonts w:hint="eastAsia" w:cs="Times New Roman"/>
                <w:kern w:val="0"/>
                <w:sz w:val="21"/>
                <w:szCs w:val="21"/>
              </w:rPr>
            </w:pPr>
            <w:r>
              <w:rPr>
                <w:rFonts w:hint="eastAsia" w:cs="Times New Roman"/>
                <w:kern w:val="0"/>
                <w:sz w:val="21"/>
                <w:szCs w:val="21"/>
              </w:rPr>
              <w:t>（2）温度效应：建立适用于不同纺织结构热学性能研究的温度周期性边界条件，通过实验表征、多尺度有限元模型和细观结构有限元模型相结合的方法，分析机织、编织结构和单向纤维增强复合材料热膨胀和热传导性质，解决了纺织复合材料热学性能精确表征的问题，发现了复合材料热传导、热应变和热应力分布的结构效应；推导适用于纺织复合材料高速冲击的弹塑性热力耦合本构，阐明纺织复合材料冲击加载热力耦合机理，发现了纺织复合材料在不同加载条件和环境下内部绝热温升变化所致的局部力学性质降解对宏观冲击性能的影响。</w:t>
            </w:r>
          </w:p>
          <w:p>
            <w:pPr>
              <w:spacing w:line="280" w:lineRule="exact"/>
              <w:ind w:firstLine="420" w:firstLineChars="200"/>
              <w:rPr>
                <w:rFonts w:hint="eastAsia" w:cs="Times New Roman"/>
                <w:kern w:val="0"/>
                <w:sz w:val="21"/>
                <w:szCs w:val="21"/>
              </w:rPr>
            </w:pPr>
            <w:r>
              <w:rPr>
                <w:rFonts w:hint="eastAsia" w:cs="Times New Roman"/>
                <w:kern w:val="0"/>
                <w:sz w:val="21"/>
                <w:szCs w:val="21"/>
              </w:rPr>
              <w:t>（3）应变率效应：研究纤维材料、织物和复合材料的冲击拉伸、压缩和剪切性质，明确了应变率和材料结构对冲击加载性质的共同作用机理，发现了材料力学性质、失效过程和能量吸收在不同应变率下的表现形式，构建了纤维、织物和复合材料计及应变率效应的本构方程并应用于弹道侵彻计算，显著提高了计算准确性；在频域中研究冲击加载过程信号，发现了纤维断裂、基体开裂、界面脱粘和单胞结构变形破坏对应的频谱特征，揭示了复合材料在不同应变率下的结构稳定性和破坏特征。</w:t>
            </w:r>
          </w:p>
          <w:p>
            <w:pPr>
              <w:spacing w:line="280" w:lineRule="exact"/>
              <w:ind w:firstLine="420" w:firstLineChars="200"/>
              <w:rPr>
                <w:rFonts w:cs="Times New Roman"/>
                <w:kern w:val="0"/>
                <w:sz w:val="21"/>
                <w:szCs w:val="21"/>
              </w:rPr>
            </w:pPr>
            <w:r>
              <w:rPr>
                <w:rFonts w:hint="eastAsia" w:cs="Times New Roman"/>
                <w:kern w:val="0"/>
                <w:sz w:val="21"/>
                <w:szCs w:val="21"/>
              </w:rPr>
              <w:t>该项目至2017年发表国际同行评审期刊论文主要有65篇，包括纺织领域期刊Text. Res. J.，复合材料领域期刊Compos. Sci. Technol.，力学期刊Mech. Mater.和传热学期刊Int. J. Heat Mass. Tran.等。5篇代表作在SCIE数据库中他引102次，研究成果得到江雷院士、方岱宁院士等正面引用和评价，许多研究者基于该项目的方法继续开展进一步研究，也实质性地促进了纺织学科与力学、传热学的交叉发展。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3606" w:type="dxa"/>
            <w:gridSpan w:val="15"/>
            <w:vAlign w:val="center"/>
          </w:tcPr>
          <w:p>
            <w:pPr>
              <w:spacing w:line="280" w:lineRule="exact"/>
              <w:jc w:val="center"/>
              <w:rPr>
                <w:rFonts w:ascii="黑体" w:hAnsi="黑体" w:eastAsia="黑体" w:cs="Times New Roman"/>
                <w:kern w:val="0"/>
                <w:sz w:val="21"/>
                <w:szCs w:val="21"/>
              </w:rPr>
            </w:pPr>
            <w:r>
              <w:rPr>
                <w:rFonts w:hint="eastAsia" w:ascii="黑体" w:hAnsi="黑体" w:eastAsia="黑体" w:cs="Times New Roman"/>
                <w:kern w:val="0"/>
                <w:sz w:val="21"/>
                <w:szCs w:val="21"/>
              </w:rPr>
              <w:t>主要完成人情况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413" w:type="dxa"/>
            <w:gridSpan w:val="2"/>
            <w:vAlign w:val="center"/>
          </w:tcPr>
          <w:p>
            <w:pPr>
              <w:spacing w:line="2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排名</w:t>
            </w:r>
          </w:p>
        </w:tc>
        <w:tc>
          <w:tcPr>
            <w:tcW w:w="1276" w:type="dxa"/>
            <w:vAlign w:val="center"/>
          </w:tcPr>
          <w:p>
            <w:pPr>
              <w:spacing w:line="2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姓名</w:t>
            </w:r>
          </w:p>
        </w:tc>
        <w:tc>
          <w:tcPr>
            <w:tcW w:w="1559" w:type="dxa"/>
            <w:gridSpan w:val="2"/>
            <w:vAlign w:val="center"/>
          </w:tcPr>
          <w:p>
            <w:pPr>
              <w:spacing w:line="2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技术职称</w:t>
            </w:r>
          </w:p>
        </w:tc>
        <w:tc>
          <w:tcPr>
            <w:tcW w:w="1559" w:type="dxa"/>
            <w:gridSpan w:val="2"/>
            <w:vAlign w:val="center"/>
          </w:tcPr>
          <w:p>
            <w:pPr>
              <w:spacing w:line="2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工作单位</w:t>
            </w:r>
          </w:p>
        </w:tc>
        <w:tc>
          <w:tcPr>
            <w:tcW w:w="1843" w:type="dxa"/>
            <w:gridSpan w:val="3"/>
            <w:vAlign w:val="center"/>
          </w:tcPr>
          <w:p>
            <w:pPr>
              <w:spacing w:line="2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完成单位</w:t>
            </w:r>
          </w:p>
        </w:tc>
        <w:tc>
          <w:tcPr>
            <w:tcW w:w="5956" w:type="dxa"/>
            <w:gridSpan w:val="5"/>
            <w:vAlign w:val="center"/>
          </w:tcPr>
          <w:p>
            <w:pPr>
              <w:spacing w:line="2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对本项目重要科学发现的贡献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413" w:type="dxa"/>
            <w:gridSpan w:val="2"/>
            <w:vAlign w:val="center"/>
          </w:tcPr>
          <w:p>
            <w:pPr>
              <w:spacing w:line="280" w:lineRule="exact"/>
              <w:jc w:val="center"/>
              <w:rPr>
                <w:rFonts w:hint="eastAsia" w:cs="Times New Roman"/>
                <w:kern w:val="0"/>
                <w:sz w:val="21"/>
                <w:szCs w:val="21"/>
              </w:rPr>
            </w:pPr>
            <w:r>
              <w:rPr>
                <w:rFonts w:hint="eastAsia" w:cs="Times New Roman"/>
                <w:kern w:val="0"/>
                <w:sz w:val="21"/>
                <w:szCs w:val="21"/>
              </w:rPr>
              <w:t>1</w:t>
            </w:r>
          </w:p>
        </w:tc>
        <w:tc>
          <w:tcPr>
            <w:tcW w:w="1276" w:type="dxa"/>
            <w:vAlign w:val="center"/>
          </w:tcPr>
          <w:p>
            <w:pPr>
              <w:spacing w:line="280" w:lineRule="exact"/>
              <w:jc w:val="center"/>
              <w:rPr>
                <w:rFonts w:hint="eastAsia" w:cs="Times New Roman"/>
                <w:kern w:val="0"/>
                <w:sz w:val="21"/>
                <w:szCs w:val="21"/>
              </w:rPr>
            </w:pPr>
            <w:r>
              <w:rPr>
                <w:rFonts w:hint="eastAsia" w:cs="Times New Roman"/>
                <w:kern w:val="0"/>
                <w:sz w:val="21"/>
                <w:szCs w:val="21"/>
              </w:rPr>
              <w:t>顾伯洪</w:t>
            </w:r>
          </w:p>
        </w:tc>
        <w:tc>
          <w:tcPr>
            <w:tcW w:w="1559" w:type="dxa"/>
            <w:gridSpan w:val="2"/>
            <w:vAlign w:val="center"/>
          </w:tcPr>
          <w:p>
            <w:pPr>
              <w:spacing w:line="280" w:lineRule="exact"/>
              <w:jc w:val="center"/>
              <w:rPr>
                <w:rFonts w:hint="eastAsia" w:cs="Times New Roman"/>
                <w:kern w:val="0"/>
                <w:sz w:val="21"/>
                <w:szCs w:val="21"/>
              </w:rPr>
            </w:pPr>
            <w:r>
              <w:rPr>
                <w:rFonts w:hint="eastAsia" w:cs="Times New Roman"/>
                <w:kern w:val="0"/>
                <w:sz w:val="21"/>
                <w:szCs w:val="21"/>
              </w:rPr>
              <w:t>教授</w:t>
            </w:r>
          </w:p>
        </w:tc>
        <w:tc>
          <w:tcPr>
            <w:tcW w:w="1559" w:type="dxa"/>
            <w:gridSpan w:val="2"/>
            <w:vAlign w:val="center"/>
          </w:tcPr>
          <w:p>
            <w:pPr>
              <w:spacing w:line="280" w:lineRule="exact"/>
              <w:jc w:val="center"/>
              <w:rPr>
                <w:rFonts w:hint="eastAsia" w:cs="Times New Roman"/>
                <w:kern w:val="0"/>
                <w:sz w:val="21"/>
                <w:szCs w:val="21"/>
              </w:rPr>
            </w:pPr>
            <w:r>
              <w:rPr>
                <w:rFonts w:hint="eastAsia" w:cs="Times New Roman"/>
                <w:kern w:val="0"/>
                <w:sz w:val="21"/>
                <w:szCs w:val="21"/>
              </w:rPr>
              <w:t>东华大学</w:t>
            </w:r>
          </w:p>
        </w:tc>
        <w:tc>
          <w:tcPr>
            <w:tcW w:w="1843" w:type="dxa"/>
            <w:gridSpan w:val="3"/>
            <w:vAlign w:val="center"/>
          </w:tcPr>
          <w:p>
            <w:pPr>
              <w:spacing w:line="280" w:lineRule="exact"/>
              <w:jc w:val="center"/>
              <w:rPr>
                <w:rFonts w:hint="eastAsia" w:cs="Times New Roman"/>
                <w:kern w:val="0"/>
                <w:sz w:val="21"/>
                <w:szCs w:val="21"/>
              </w:rPr>
            </w:pPr>
            <w:r>
              <w:rPr>
                <w:rFonts w:hint="eastAsia" w:cs="Times New Roman"/>
                <w:kern w:val="0"/>
                <w:sz w:val="21"/>
                <w:szCs w:val="21"/>
              </w:rPr>
              <w:t>东华大学</w:t>
            </w:r>
          </w:p>
        </w:tc>
        <w:tc>
          <w:tcPr>
            <w:tcW w:w="5956" w:type="dxa"/>
            <w:gridSpan w:val="5"/>
            <w:vAlign w:val="center"/>
          </w:tcPr>
          <w:p>
            <w:pPr>
              <w:spacing w:line="280" w:lineRule="exact"/>
              <w:jc w:val="center"/>
              <w:rPr>
                <w:rFonts w:hint="eastAsia" w:cs="Times New Roman"/>
                <w:kern w:val="0"/>
                <w:sz w:val="21"/>
                <w:szCs w:val="21"/>
              </w:rPr>
            </w:pPr>
            <w:r>
              <w:rPr>
                <w:rFonts w:hint="eastAsia" w:cs="Times New Roman"/>
                <w:kern w:val="0"/>
                <w:sz w:val="21"/>
                <w:szCs w:val="21"/>
              </w:rPr>
              <w:t>负责该项目总体设计，具体研究刚性和柔性研究纺织复合材料冲击损伤的结构效应和纤维材料力学性质应变率效应。是代表性论文1,3,5的通讯作者。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413" w:type="dxa"/>
            <w:gridSpan w:val="2"/>
            <w:vAlign w:val="center"/>
          </w:tcPr>
          <w:p>
            <w:pPr>
              <w:spacing w:line="280" w:lineRule="exact"/>
              <w:jc w:val="center"/>
              <w:rPr>
                <w:rFonts w:hint="eastAsia" w:cs="Times New Roman"/>
                <w:kern w:val="0"/>
                <w:sz w:val="21"/>
                <w:szCs w:val="21"/>
              </w:rPr>
            </w:pPr>
            <w:r>
              <w:rPr>
                <w:rFonts w:hint="eastAsia" w:cs="Times New Roman"/>
                <w:kern w:val="0"/>
                <w:sz w:val="21"/>
                <w:szCs w:val="21"/>
              </w:rPr>
              <w:t>2</w:t>
            </w:r>
          </w:p>
        </w:tc>
        <w:tc>
          <w:tcPr>
            <w:tcW w:w="1276" w:type="dxa"/>
            <w:vAlign w:val="center"/>
          </w:tcPr>
          <w:p>
            <w:pPr>
              <w:spacing w:line="280" w:lineRule="exact"/>
              <w:jc w:val="center"/>
              <w:rPr>
                <w:rFonts w:hint="eastAsia" w:cs="Times New Roman"/>
                <w:kern w:val="0"/>
                <w:sz w:val="21"/>
                <w:szCs w:val="21"/>
              </w:rPr>
            </w:pPr>
            <w:r>
              <w:rPr>
                <w:rFonts w:hint="eastAsia" w:cs="Times New Roman"/>
                <w:kern w:val="0"/>
                <w:sz w:val="21"/>
                <w:szCs w:val="21"/>
              </w:rPr>
              <w:t>孙宝忠</w:t>
            </w:r>
          </w:p>
        </w:tc>
        <w:tc>
          <w:tcPr>
            <w:tcW w:w="1559" w:type="dxa"/>
            <w:gridSpan w:val="2"/>
            <w:vAlign w:val="center"/>
          </w:tcPr>
          <w:p>
            <w:pPr>
              <w:spacing w:line="280" w:lineRule="exact"/>
              <w:jc w:val="center"/>
              <w:rPr>
                <w:rFonts w:hint="eastAsia" w:cs="Times New Roman"/>
                <w:kern w:val="0"/>
                <w:sz w:val="21"/>
                <w:szCs w:val="21"/>
              </w:rPr>
            </w:pPr>
            <w:r>
              <w:rPr>
                <w:rFonts w:hint="eastAsia" w:cs="Times New Roman"/>
                <w:kern w:val="0"/>
                <w:sz w:val="21"/>
                <w:szCs w:val="21"/>
              </w:rPr>
              <w:t>教授</w:t>
            </w:r>
          </w:p>
        </w:tc>
        <w:tc>
          <w:tcPr>
            <w:tcW w:w="1559" w:type="dxa"/>
            <w:gridSpan w:val="2"/>
            <w:vAlign w:val="center"/>
          </w:tcPr>
          <w:p>
            <w:pPr>
              <w:spacing w:line="280" w:lineRule="exact"/>
              <w:jc w:val="center"/>
              <w:rPr>
                <w:rFonts w:hint="eastAsia" w:cs="Times New Roman"/>
                <w:kern w:val="0"/>
                <w:sz w:val="21"/>
                <w:szCs w:val="21"/>
              </w:rPr>
            </w:pPr>
            <w:r>
              <w:rPr>
                <w:rFonts w:hint="eastAsia" w:cs="Times New Roman"/>
                <w:kern w:val="0"/>
                <w:sz w:val="21"/>
                <w:szCs w:val="21"/>
              </w:rPr>
              <w:t>东华大学</w:t>
            </w:r>
          </w:p>
        </w:tc>
        <w:tc>
          <w:tcPr>
            <w:tcW w:w="1843" w:type="dxa"/>
            <w:gridSpan w:val="3"/>
            <w:vAlign w:val="center"/>
          </w:tcPr>
          <w:p>
            <w:pPr>
              <w:spacing w:line="280" w:lineRule="exact"/>
              <w:jc w:val="center"/>
              <w:rPr>
                <w:rFonts w:hint="eastAsia" w:cs="Times New Roman"/>
                <w:kern w:val="0"/>
                <w:sz w:val="21"/>
                <w:szCs w:val="21"/>
              </w:rPr>
            </w:pPr>
            <w:r>
              <w:rPr>
                <w:rFonts w:hint="eastAsia" w:cs="Times New Roman"/>
                <w:kern w:val="0"/>
                <w:sz w:val="21"/>
                <w:szCs w:val="21"/>
              </w:rPr>
              <w:t>东华大学</w:t>
            </w:r>
          </w:p>
        </w:tc>
        <w:tc>
          <w:tcPr>
            <w:tcW w:w="5956" w:type="dxa"/>
            <w:gridSpan w:val="5"/>
            <w:vAlign w:val="center"/>
          </w:tcPr>
          <w:p>
            <w:pPr>
              <w:spacing w:line="280" w:lineRule="exact"/>
              <w:jc w:val="center"/>
              <w:rPr>
                <w:rFonts w:hint="eastAsia" w:cs="Times New Roman"/>
                <w:kern w:val="0"/>
                <w:sz w:val="21"/>
                <w:szCs w:val="21"/>
              </w:rPr>
            </w:pPr>
            <w:r>
              <w:rPr>
                <w:rFonts w:hint="eastAsia" w:cs="Times New Roman"/>
                <w:kern w:val="0"/>
                <w:sz w:val="21"/>
                <w:szCs w:val="21"/>
              </w:rPr>
              <w:t>研究复合材料冲击损伤的温度效应和应变率效应的频域分析，包括复合材料热导性质、热力耦合性质和复合材料冲击加载下结构稳定性的频域特征。是代表性论文3, 4的通讯作者。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2689" w:type="dxa"/>
            <w:gridSpan w:val="3"/>
            <w:vAlign w:val="center"/>
          </w:tcPr>
          <w:p>
            <w:pPr>
              <w:pStyle w:val="5"/>
              <w:widowControl w:val="0"/>
              <w:adjustRightInd w:val="0"/>
              <w:spacing w:line="280" w:lineRule="exact"/>
              <w:jc w:val="center"/>
              <w:outlineLvl w:val="1"/>
              <w:rPr>
                <w:rFonts w:hint="eastAsia" w:ascii="黑体" w:hAnsi="黑体" w:eastAsia="黑体" w:cs="黑体"/>
                <w:color w:val="000000"/>
                <w:kern w:val="0"/>
                <w:sz w:val="22"/>
                <w:szCs w:val="20"/>
                <w:lang w:bidi="ar"/>
              </w:rPr>
            </w:pPr>
            <w:r>
              <w:rPr>
                <w:rFonts w:hint="eastAsia" w:ascii="黑体" w:hAnsi="黑体" w:eastAsia="黑体" w:cs="黑体"/>
                <w:color w:val="000000"/>
                <w:kern w:val="0"/>
                <w:sz w:val="22"/>
                <w:szCs w:val="20"/>
                <w:lang w:bidi="ar"/>
              </w:rPr>
              <w:t>主要完成单位</w:t>
            </w:r>
          </w:p>
        </w:tc>
        <w:tc>
          <w:tcPr>
            <w:tcW w:w="10917" w:type="dxa"/>
            <w:gridSpan w:val="12"/>
            <w:vAlign w:val="center"/>
          </w:tcPr>
          <w:p>
            <w:pPr>
              <w:pStyle w:val="5"/>
              <w:widowControl w:val="0"/>
              <w:adjustRightInd w:val="0"/>
              <w:spacing w:line="280" w:lineRule="exact"/>
              <w:jc w:val="center"/>
              <w:outlineLvl w:val="1"/>
              <w:rPr>
                <w:rFonts w:hint="eastAsia" w:ascii="黑体" w:hAnsi="黑体" w:eastAsia="黑体" w:cs="黑体"/>
                <w:color w:val="000000"/>
                <w:kern w:val="0"/>
                <w:sz w:val="22"/>
                <w:szCs w:val="20"/>
                <w:lang w:bidi="ar"/>
              </w:rPr>
            </w:pPr>
            <w:r>
              <w:rPr>
                <w:rFonts w:hint="eastAsia" w:cs="Times New Roman"/>
                <w:kern w:val="0"/>
                <w:sz w:val="21"/>
                <w:szCs w:val="21"/>
              </w:rPr>
              <w:t>东华大学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3606" w:type="dxa"/>
            <w:gridSpan w:val="15"/>
            <w:vAlign w:val="center"/>
          </w:tcPr>
          <w:p>
            <w:pPr>
              <w:pStyle w:val="5"/>
              <w:widowControl w:val="0"/>
              <w:adjustRightInd w:val="0"/>
              <w:spacing w:line="280" w:lineRule="exact"/>
              <w:jc w:val="center"/>
              <w:outlineLvl w:val="1"/>
              <w:rPr>
                <w:rFonts w:ascii="宋体" w:hAnsi="宋体" w:eastAsia="宋体" w:cs="宋体"/>
                <w:color w:val="000000"/>
                <w:kern w:val="0"/>
                <w:sz w:val="21"/>
                <w:szCs w:val="28"/>
                <w:lang w:bidi="ar"/>
              </w:rPr>
            </w:pPr>
            <w:r>
              <w:rPr>
                <w:rFonts w:hint="eastAsia" w:ascii="黑体" w:hAnsi="黑体" w:eastAsia="黑体" w:cs="黑体"/>
                <w:color w:val="000000"/>
                <w:kern w:val="0"/>
                <w:sz w:val="22"/>
                <w:szCs w:val="20"/>
                <w:lang w:bidi="ar"/>
              </w:rPr>
              <w:t>代表性论文（专著）目录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66" w:type="dxa"/>
            <w:vAlign w:val="center"/>
          </w:tcPr>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序号</w:t>
            </w:r>
          </w:p>
        </w:tc>
        <w:tc>
          <w:tcPr>
            <w:tcW w:w="2501" w:type="dxa"/>
            <w:gridSpan w:val="3"/>
            <w:vAlign w:val="center"/>
          </w:tcPr>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论文（专著）名称/刊名/作者</w:t>
            </w:r>
          </w:p>
        </w:tc>
        <w:tc>
          <w:tcPr>
            <w:tcW w:w="1814" w:type="dxa"/>
            <w:gridSpan w:val="2"/>
            <w:vAlign w:val="center"/>
          </w:tcPr>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年卷页码</w:t>
            </w:r>
          </w:p>
        </w:tc>
        <w:tc>
          <w:tcPr>
            <w:tcW w:w="1175" w:type="dxa"/>
            <w:gridSpan w:val="2"/>
            <w:vAlign w:val="center"/>
          </w:tcPr>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发表时间</w:t>
            </w:r>
          </w:p>
        </w:tc>
        <w:tc>
          <w:tcPr>
            <w:tcW w:w="1211" w:type="dxa"/>
            <w:vAlign w:val="center"/>
          </w:tcPr>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通讯作者</w:t>
            </w:r>
          </w:p>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（含共同）</w:t>
            </w:r>
          </w:p>
        </w:tc>
        <w:tc>
          <w:tcPr>
            <w:tcW w:w="1154" w:type="dxa"/>
            <w:gridSpan w:val="2"/>
            <w:vAlign w:val="center"/>
          </w:tcPr>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第一作者</w:t>
            </w:r>
          </w:p>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（含共同）</w:t>
            </w:r>
          </w:p>
        </w:tc>
        <w:tc>
          <w:tcPr>
            <w:tcW w:w="1241" w:type="dxa"/>
            <w:vAlign w:val="center"/>
          </w:tcPr>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国内作者</w:t>
            </w:r>
          </w:p>
        </w:tc>
        <w:tc>
          <w:tcPr>
            <w:tcW w:w="1211" w:type="dxa"/>
            <w:vAlign w:val="center"/>
          </w:tcPr>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他引总次数</w:t>
            </w:r>
          </w:p>
        </w:tc>
        <w:tc>
          <w:tcPr>
            <w:tcW w:w="1209" w:type="dxa"/>
            <w:vAlign w:val="center"/>
          </w:tcPr>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检索数据库</w:t>
            </w:r>
          </w:p>
        </w:tc>
        <w:tc>
          <w:tcPr>
            <w:tcW w:w="1424" w:type="dxa"/>
            <w:vAlign w:val="center"/>
          </w:tcPr>
          <w:p>
            <w:pPr>
              <w:pStyle w:val="5"/>
              <w:widowControl w:val="0"/>
              <w:adjustRightInd w:val="0"/>
              <w:spacing w:line="240" w:lineRule="exact"/>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论文署名单位是否包含国外单位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66"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1</w:t>
            </w:r>
          </w:p>
        </w:tc>
        <w:tc>
          <w:tcPr>
            <w:tcW w:w="2501" w:type="dxa"/>
            <w:gridSpan w:val="3"/>
            <w:vAlign w:val="center"/>
          </w:tcPr>
          <w:p>
            <w:pPr>
              <w:pStyle w:val="5"/>
              <w:widowControl w:val="0"/>
              <w:adjustRightInd w:val="0"/>
              <w:spacing w:line="280" w:lineRule="exact"/>
              <w:jc w:val="both"/>
              <w:outlineLvl w:val="1"/>
              <w:rPr>
                <w:rFonts w:eastAsia="仿宋" w:cs="宋体"/>
                <w:color w:val="000000"/>
                <w:kern w:val="0"/>
                <w:sz w:val="21"/>
                <w:szCs w:val="21"/>
              </w:rPr>
            </w:pPr>
            <w:r>
              <w:rPr>
                <w:rFonts w:eastAsia="仿宋" w:cs="Times New Roman"/>
                <w:kern w:val="0"/>
                <w:sz w:val="21"/>
                <w:szCs w:val="21"/>
              </w:rPr>
              <w:t>Finite element prediction of the impact compressive properties of three-dimensional braided composites using multi-scale model / Composite Structures / Wan Yumin, Sun Baozhong, Gu Bohong</w:t>
            </w:r>
          </w:p>
        </w:tc>
        <w:tc>
          <w:tcPr>
            <w:tcW w:w="1814" w:type="dxa"/>
            <w:gridSpan w:val="2"/>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2015, 128(Sep.):381-394.</w:t>
            </w:r>
          </w:p>
        </w:tc>
        <w:tc>
          <w:tcPr>
            <w:tcW w:w="1175" w:type="dxa"/>
            <w:gridSpan w:val="2"/>
            <w:vAlign w:val="center"/>
          </w:tcPr>
          <w:p>
            <w:pPr>
              <w:pStyle w:val="2"/>
              <w:spacing w:line="28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2015.3.27</w:t>
            </w:r>
          </w:p>
        </w:tc>
        <w:tc>
          <w:tcPr>
            <w:tcW w:w="1211" w:type="dxa"/>
            <w:vAlign w:val="center"/>
          </w:tcPr>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顾伯洪</w:t>
            </w:r>
          </w:p>
        </w:tc>
        <w:tc>
          <w:tcPr>
            <w:tcW w:w="1154" w:type="dxa"/>
            <w:gridSpan w:val="2"/>
            <w:vAlign w:val="center"/>
          </w:tcPr>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万玉敏</w:t>
            </w:r>
          </w:p>
        </w:tc>
        <w:tc>
          <w:tcPr>
            <w:tcW w:w="1241" w:type="dxa"/>
            <w:vAlign w:val="center"/>
          </w:tcPr>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万玉敏孙宝忠</w:t>
            </w:r>
          </w:p>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顾伯洪</w:t>
            </w:r>
          </w:p>
        </w:tc>
        <w:tc>
          <w:tcPr>
            <w:tcW w:w="1211" w:type="dxa"/>
            <w:vAlign w:val="center"/>
          </w:tcPr>
          <w:p>
            <w:pPr>
              <w:pStyle w:val="2"/>
              <w:spacing w:line="28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24</w:t>
            </w:r>
          </w:p>
        </w:tc>
        <w:tc>
          <w:tcPr>
            <w:tcW w:w="1209"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SCIE</w:t>
            </w:r>
          </w:p>
        </w:tc>
        <w:tc>
          <w:tcPr>
            <w:tcW w:w="1424"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66"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2</w:t>
            </w:r>
          </w:p>
        </w:tc>
        <w:tc>
          <w:tcPr>
            <w:tcW w:w="2501" w:type="dxa"/>
            <w:gridSpan w:val="3"/>
            <w:vAlign w:val="center"/>
          </w:tcPr>
          <w:p>
            <w:pPr>
              <w:pStyle w:val="5"/>
              <w:widowControl w:val="0"/>
              <w:adjustRightInd w:val="0"/>
              <w:spacing w:line="280" w:lineRule="exact"/>
              <w:jc w:val="both"/>
              <w:outlineLvl w:val="1"/>
              <w:rPr>
                <w:rFonts w:eastAsia="仿宋" w:cs="宋体"/>
                <w:color w:val="000000"/>
                <w:kern w:val="0"/>
                <w:sz w:val="21"/>
                <w:szCs w:val="21"/>
              </w:rPr>
            </w:pPr>
            <w:r>
              <w:rPr>
                <w:rFonts w:eastAsia="仿宋" w:cs="Times New Roman"/>
                <w:kern w:val="0"/>
                <w:sz w:val="21"/>
                <w:szCs w:val="21"/>
              </w:rPr>
              <w:t>Compressive behaviors of warp-knitted spacer fabrics impregnated with shear thickening fluid / Composites Science and Technology / Lu Zhenqian, Jing Xiaoyun, Sun Baozhong, Gu Bohong</w:t>
            </w:r>
          </w:p>
        </w:tc>
        <w:tc>
          <w:tcPr>
            <w:tcW w:w="1814" w:type="dxa"/>
            <w:gridSpan w:val="2"/>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2013, 88(Nov.):184-189.</w:t>
            </w:r>
          </w:p>
        </w:tc>
        <w:tc>
          <w:tcPr>
            <w:tcW w:w="1175" w:type="dxa"/>
            <w:gridSpan w:val="2"/>
            <w:vAlign w:val="center"/>
          </w:tcPr>
          <w:p>
            <w:pPr>
              <w:pStyle w:val="2"/>
              <w:spacing w:line="28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2013.12.21</w:t>
            </w:r>
          </w:p>
        </w:tc>
        <w:tc>
          <w:tcPr>
            <w:tcW w:w="1211" w:type="dxa"/>
            <w:vAlign w:val="center"/>
          </w:tcPr>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顾伯洪</w:t>
            </w:r>
          </w:p>
        </w:tc>
        <w:tc>
          <w:tcPr>
            <w:tcW w:w="1154" w:type="dxa"/>
            <w:gridSpan w:val="2"/>
            <w:vAlign w:val="center"/>
          </w:tcPr>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陆振乾</w:t>
            </w:r>
          </w:p>
        </w:tc>
        <w:tc>
          <w:tcPr>
            <w:tcW w:w="1241" w:type="dxa"/>
            <w:vAlign w:val="center"/>
          </w:tcPr>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陆振乾</w:t>
            </w:r>
          </w:p>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景晓颖</w:t>
            </w:r>
          </w:p>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孙宝忠</w:t>
            </w:r>
          </w:p>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顾伯洪</w:t>
            </w:r>
          </w:p>
        </w:tc>
        <w:tc>
          <w:tcPr>
            <w:tcW w:w="1211" w:type="dxa"/>
            <w:vAlign w:val="center"/>
          </w:tcPr>
          <w:p>
            <w:pPr>
              <w:pStyle w:val="2"/>
              <w:spacing w:line="28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28</w:t>
            </w:r>
          </w:p>
        </w:tc>
        <w:tc>
          <w:tcPr>
            <w:tcW w:w="1209"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SCIE</w:t>
            </w:r>
          </w:p>
        </w:tc>
        <w:tc>
          <w:tcPr>
            <w:tcW w:w="1424"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66"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3</w:t>
            </w:r>
          </w:p>
        </w:tc>
        <w:tc>
          <w:tcPr>
            <w:tcW w:w="2501" w:type="dxa"/>
            <w:gridSpan w:val="3"/>
            <w:vAlign w:val="center"/>
          </w:tcPr>
          <w:p>
            <w:pPr>
              <w:pStyle w:val="5"/>
              <w:widowControl w:val="0"/>
              <w:adjustRightInd w:val="0"/>
              <w:spacing w:line="280" w:lineRule="exact"/>
              <w:jc w:val="both"/>
              <w:outlineLvl w:val="1"/>
              <w:rPr>
                <w:rFonts w:eastAsia="仿宋" w:cs="宋体"/>
                <w:color w:val="000000"/>
                <w:kern w:val="0"/>
                <w:sz w:val="21"/>
                <w:szCs w:val="21"/>
              </w:rPr>
            </w:pPr>
            <w:r>
              <w:rPr>
                <w:rFonts w:eastAsia="仿宋" w:cs="Times New Roman"/>
                <w:kern w:val="0"/>
                <w:sz w:val="21"/>
                <w:szCs w:val="21"/>
              </w:rPr>
              <w:t>Experimental and numerical analyses on the thermal conductive behaviors of carbon fiber/epoxy plain woven composites / International Journal of Heat and Mass Transfer / Dong Kai, Liu Kui, Zhang Qian, Gu Bohong, Sun Baozhong</w:t>
            </w:r>
          </w:p>
        </w:tc>
        <w:tc>
          <w:tcPr>
            <w:tcW w:w="1814" w:type="dxa"/>
            <w:gridSpan w:val="2"/>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2016, 102:501-517.</w:t>
            </w:r>
          </w:p>
        </w:tc>
        <w:tc>
          <w:tcPr>
            <w:tcW w:w="1175" w:type="dxa"/>
            <w:gridSpan w:val="2"/>
            <w:vAlign w:val="center"/>
          </w:tcPr>
          <w:p>
            <w:pPr>
              <w:pStyle w:val="2"/>
              <w:spacing w:line="28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2016.3.10</w:t>
            </w:r>
          </w:p>
        </w:tc>
        <w:tc>
          <w:tcPr>
            <w:tcW w:w="1211" w:type="dxa"/>
            <w:vAlign w:val="center"/>
          </w:tcPr>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孙宝忠</w:t>
            </w:r>
          </w:p>
        </w:tc>
        <w:tc>
          <w:tcPr>
            <w:tcW w:w="1154" w:type="dxa"/>
            <w:gridSpan w:val="2"/>
            <w:vAlign w:val="center"/>
          </w:tcPr>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董凯</w:t>
            </w:r>
          </w:p>
        </w:tc>
        <w:tc>
          <w:tcPr>
            <w:tcW w:w="1241" w:type="dxa"/>
            <w:vAlign w:val="center"/>
          </w:tcPr>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董凯</w:t>
            </w:r>
          </w:p>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刘奎</w:t>
            </w:r>
          </w:p>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章倩</w:t>
            </w:r>
          </w:p>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顾伯洪</w:t>
            </w:r>
          </w:p>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孙宝忠</w:t>
            </w:r>
          </w:p>
        </w:tc>
        <w:tc>
          <w:tcPr>
            <w:tcW w:w="1211" w:type="dxa"/>
            <w:vAlign w:val="center"/>
          </w:tcPr>
          <w:p>
            <w:pPr>
              <w:pStyle w:val="2"/>
              <w:spacing w:line="28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22</w:t>
            </w:r>
          </w:p>
        </w:tc>
        <w:tc>
          <w:tcPr>
            <w:tcW w:w="1209"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SCIE</w:t>
            </w:r>
          </w:p>
        </w:tc>
        <w:tc>
          <w:tcPr>
            <w:tcW w:w="1424"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66"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4</w:t>
            </w:r>
          </w:p>
        </w:tc>
        <w:tc>
          <w:tcPr>
            <w:tcW w:w="2501" w:type="dxa"/>
            <w:gridSpan w:val="3"/>
            <w:vAlign w:val="center"/>
          </w:tcPr>
          <w:p>
            <w:pPr>
              <w:pStyle w:val="5"/>
              <w:widowControl w:val="0"/>
              <w:adjustRightInd w:val="0"/>
              <w:spacing w:line="280" w:lineRule="exact"/>
              <w:jc w:val="both"/>
              <w:outlineLvl w:val="1"/>
              <w:rPr>
                <w:rFonts w:eastAsia="仿宋" w:cs="宋体"/>
                <w:color w:val="000000"/>
                <w:kern w:val="0"/>
                <w:sz w:val="21"/>
                <w:szCs w:val="21"/>
              </w:rPr>
            </w:pPr>
            <w:r>
              <w:rPr>
                <w:rFonts w:eastAsia="仿宋" w:cs="Times New Roman"/>
                <w:kern w:val="0"/>
                <w:sz w:val="21"/>
                <w:szCs w:val="21"/>
              </w:rPr>
              <w:t>Experimental investigation of high-strain rate properties of 3-D braided composite material in cryogenic field / Composites Part B Engineering / Pan Zhongxiang, Gu Bohong, Sun Baozhong</w:t>
            </w:r>
          </w:p>
        </w:tc>
        <w:tc>
          <w:tcPr>
            <w:tcW w:w="1814" w:type="dxa"/>
            <w:gridSpan w:val="2"/>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2015,77:379-390</w:t>
            </w:r>
          </w:p>
        </w:tc>
        <w:tc>
          <w:tcPr>
            <w:tcW w:w="1175" w:type="dxa"/>
            <w:gridSpan w:val="2"/>
            <w:vAlign w:val="center"/>
          </w:tcPr>
          <w:p>
            <w:pPr>
              <w:pStyle w:val="2"/>
              <w:spacing w:line="28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2015.3.11</w:t>
            </w:r>
          </w:p>
        </w:tc>
        <w:tc>
          <w:tcPr>
            <w:tcW w:w="1211" w:type="dxa"/>
            <w:vAlign w:val="center"/>
          </w:tcPr>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孙宝忠</w:t>
            </w:r>
          </w:p>
        </w:tc>
        <w:tc>
          <w:tcPr>
            <w:tcW w:w="1154" w:type="dxa"/>
            <w:gridSpan w:val="2"/>
            <w:vAlign w:val="center"/>
          </w:tcPr>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潘忠祥</w:t>
            </w:r>
          </w:p>
        </w:tc>
        <w:tc>
          <w:tcPr>
            <w:tcW w:w="1241" w:type="dxa"/>
            <w:vAlign w:val="center"/>
          </w:tcPr>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潘忠祥</w:t>
            </w:r>
          </w:p>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顾伯洪</w:t>
            </w:r>
          </w:p>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孙宝忠</w:t>
            </w:r>
          </w:p>
        </w:tc>
        <w:tc>
          <w:tcPr>
            <w:tcW w:w="1211" w:type="dxa"/>
            <w:vAlign w:val="center"/>
          </w:tcPr>
          <w:p>
            <w:pPr>
              <w:pStyle w:val="2"/>
              <w:spacing w:line="28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15</w:t>
            </w:r>
          </w:p>
        </w:tc>
        <w:tc>
          <w:tcPr>
            <w:tcW w:w="1209"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SCIE</w:t>
            </w:r>
          </w:p>
        </w:tc>
        <w:tc>
          <w:tcPr>
            <w:tcW w:w="1424"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66"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5</w:t>
            </w:r>
          </w:p>
        </w:tc>
        <w:tc>
          <w:tcPr>
            <w:tcW w:w="2501" w:type="dxa"/>
            <w:gridSpan w:val="3"/>
            <w:vAlign w:val="center"/>
          </w:tcPr>
          <w:p>
            <w:pPr>
              <w:pStyle w:val="5"/>
              <w:widowControl w:val="0"/>
              <w:adjustRightInd w:val="0"/>
              <w:spacing w:line="280" w:lineRule="exact"/>
              <w:jc w:val="both"/>
              <w:outlineLvl w:val="1"/>
              <w:rPr>
                <w:rFonts w:eastAsia="仿宋" w:cs="宋体"/>
                <w:color w:val="000000"/>
                <w:kern w:val="0"/>
                <w:sz w:val="21"/>
                <w:szCs w:val="21"/>
              </w:rPr>
            </w:pPr>
            <w:r>
              <w:rPr>
                <w:rFonts w:eastAsia="仿宋" w:cs="Times New Roman"/>
                <w:kern w:val="0"/>
                <w:sz w:val="21"/>
                <w:szCs w:val="21"/>
              </w:rPr>
              <w:t xml:space="preserve">Constitutive equations of basalt filament tows under quasi-static and high strain rate tension / Materials Science &amp; Engineering A / Zhu Lvtao, Sun Baozhong, Hu Hong, Gu Bohong </w:t>
            </w:r>
          </w:p>
        </w:tc>
        <w:tc>
          <w:tcPr>
            <w:tcW w:w="1814" w:type="dxa"/>
            <w:gridSpan w:val="2"/>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2010, 527(13):3245-3252.</w:t>
            </w:r>
          </w:p>
        </w:tc>
        <w:tc>
          <w:tcPr>
            <w:tcW w:w="1175" w:type="dxa"/>
            <w:gridSpan w:val="2"/>
            <w:vAlign w:val="center"/>
          </w:tcPr>
          <w:p>
            <w:pPr>
              <w:pStyle w:val="2"/>
              <w:spacing w:line="28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2010.2.3</w:t>
            </w:r>
          </w:p>
        </w:tc>
        <w:tc>
          <w:tcPr>
            <w:tcW w:w="1211" w:type="dxa"/>
            <w:vAlign w:val="center"/>
          </w:tcPr>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顾伯洪</w:t>
            </w:r>
          </w:p>
        </w:tc>
        <w:tc>
          <w:tcPr>
            <w:tcW w:w="1154" w:type="dxa"/>
            <w:gridSpan w:val="2"/>
            <w:vAlign w:val="center"/>
          </w:tcPr>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竺铝涛</w:t>
            </w:r>
          </w:p>
        </w:tc>
        <w:tc>
          <w:tcPr>
            <w:tcW w:w="1241" w:type="dxa"/>
            <w:vAlign w:val="center"/>
          </w:tcPr>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竺铝涛</w:t>
            </w:r>
          </w:p>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孙宝忠</w:t>
            </w:r>
          </w:p>
          <w:p>
            <w:pPr>
              <w:pStyle w:val="2"/>
              <w:spacing w:line="36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胡红</w:t>
            </w:r>
          </w:p>
          <w:p>
            <w:pPr>
              <w:pStyle w:val="2"/>
              <w:adjustRightInd w:val="0"/>
              <w:spacing w:line="280" w:lineRule="exact"/>
              <w:ind w:firstLine="0" w:firstLineChars="0"/>
              <w:jc w:val="center"/>
              <w:outlineLvl w:val="1"/>
              <w:rPr>
                <w:rFonts w:hint="default" w:ascii="Times New Roman" w:eastAsia="仿宋"/>
                <w:kern w:val="0"/>
                <w:sz w:val="21"/>
                <w:szCs w:val="21"/>
              </w:rPr>
            </w:pPr>
            <w:r>
              <w:rPr>
                <w:rFonts w:hint="default" w:ascii="Times New Roman" w:eastAsia="仿宋"/>
                <w:kern w:val="0"/>
                <w:sz w:val="21"/>
                <w:szCs w:val="21"/>
              </w:rPr>
              <w:t>顾伯洪</w:t>
            </w:r>
          </w:p>
        </w:tc>
        <w:tc>
          <w:tcPr>
            <w:tcW w:w="1211" w:type="dxa"/>
            <w:vAlign w:val="center"/>
          </w:tcPr>
          <w:p>
            <w:pPr>
              <w:pStyle w:val="2"/>
              <w:spacing w:line="280" w:lineRule="exact"/>
              <w:ind w:firstLine="0" w:firstLineChars="0"/>
              <w:jc w:val="center"/>
              <w:rPr>
                <w:rFonts w:hint="default" w:ascii="Times New Roman" w:eastAsia="仿宋"/>
                <w:kern w:val="0"/>
                <w:sz w:val="21"/>
                <w:szCs w:val="21"/>
              </w:rPr>
            </w:pPr>
            <w:r>
              <w:rPr>
                <w:rFonts w:hint="default" w:ascii="Times New Roman" w:eastAsia="仿宋"/>
                <w:kern w:val="0"/>
                <w:sz w:val="21"/>
                <w:szCs w:val="21"/>
              </w:rPr>
              <w:t>13</w:t>
            </w:r>
          </w:p>
        </w:tc>
        <w:tc>
          <w:tcPr>
            <w:tcW w:w="1209"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SCIE</w:t>
            </w:r>
          </w:p>
        </w:tc>
        <w:tc>
          <w:tcPr>
            <w:tcW w:w="1424"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Times New Roman"/>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9762" w:type="dxa"/>
            <w:gridSpan w:val="12"/>
            <w:vAlign w:val="center"/>
          </w:tcPr>
          <w:p>
            <w:pPr>
              <w:pStyle w:val="5"/>
              <w:widowControl w:val="0"/>
              <w:adjustRightInd w:val="0"/>
              <w:spacing w:line="280" w:lineRule="exact"/>
              <w:jc w:val="center"/>
              <w:outlineLvl w:val="1"/>
              <w:rPr>
                <w:rFonts w:eastAsia="仿宋" w:cs="宋体"/>
                <w:color w:val="000000"/>
                <w:kern w:val="0"/>
                <w:sz w:val="21"/>
                <w:szCs w:val="21"/>
              </w:rPr>
            </w:pPr>
            <w:r>
              <w:rPr>
                <w:rFonts w:hint="eastAsia" w:eastAsia="仿宋" w:cs="宋体"/>
                <w:color w:val="000000"/>
                <w:kern w:val="0"/>
                <w:sz w:val="21"/>
                <w:szCs w:val="21"/>
                <w:lang w:bidi="ar"/>
              </w:rPr>
              <w:t>合  计</w:t>
            </w:r>
          </w:p>
        </w:tc>
        <w:tc>
          <w:tcPr>
            <w:tcW w:w="1211" w:type="dxa"/>
            <w:vAlign w:val="center"/>
          </w:tcPr>
          <w:p>
            <w:pPr>
              <w:pStyle w:val="5"/>
              <w:widowControl w:val="0"/>
              <w:adjustRightInd w:val="0"/>
              <w:spacing w:line="280" w:lineRule="exact"/>
              <w:jc w:val="center"/>
              <w:outlineLvl w:val="1"/>
              <w:rPr>
                <w:rFonts w:eastAsia="仿宋" w:cs="宋体"/>
                <w:color w:val="000000"/>
                <w:kern w:val="0"/>
                <w:sz w:val="21"/>
                <w:szCs w:val="21"/>
              </w:rPr>
            </w:pPr>
            <w:r>
              <w:rPr>
                <w:rFonts w:eastAsia="仿宋" w:cs="宋体"/>
                <w:color w:val="000000"/>
                <w:kern w:val="0"/>
                <w:sz w:val="21"/>
                <w:szCs w:val="21"/>
              </w:rPr>
              <w:t>102</w:t>
            </w:r>
          </w:p>
        </w:tc>
        <w:tc>
          <w:tcPr>
            <w:tcW w:w="1209" w:type="dxa"/>
            <w:vAlign w:val="center"/>
          </w:tcPr>
          <w:p>
            <w:pPr>
              <w:pStyle w:val="5"/>
              <w:widowControl w:val="0"/>
              <w:adjustRightInd w:val="0"/>
              <w:spacing w:line="280" w:lineRule="exact"/>
              <w:jc w:val="center"/>
              <w:outlineLvl w:val="1"/>
              <w:rPr>
                <w:rFonts w:eastAsia="仿宋" w:cs="宋体"/>
                <w:color w:val="000000"/>
                <w:kern w:val="0"/>
                <w:sz w:val="21"/>
                <w:szCs w:val="21"/>
              </w:rPr>
            </w:pPr>
          </w:p>
        </w:tc>
        <w:tc>
          <w:tcPr>
            <w:tcW w:w="1424" w:type="dxa"/>
            <w:vAlign w:val="center"/>
          </w:tcPr>
          <w:p>
            <w:pPr>
              <w:pStyle w:val="5"/>
              <w:widowControl w:val="0"/>
              <w:adjustRightInd w:val="0"/>
              <w:spacing w:line="280" w:lineRule="exact"/>
              <w:jc w:val="center"/>
              <w:outlineLvl w:val="1"/>
              <w:rPr>
                <w:rFonts w:eastAsia="仿宋" w:cs="宋体"/>
                <w:color w:val="000000"/>
                <w:kern w:val="0"/>
                <w:sz w:val="21"/>
                <w:szCs w:val="21"/>
              </w:rPr>
            </w:pPr>
          </w:p>
        </w:tc>
      </w:tr>
    </w:tbl>
    <w:p>
      <w:pPr>
        <w:spacing w:line="280" w:lineRule="exact"/>
        <w:rPr>
          <w:rFonts w:eastAsia="仿宋"/>
          <w:b/>
          <w:sz w:val="21"/>
          <w:szCs w:val="21"/>
        </w:rPr>
      </w:pP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134" w:right="1134" w:bottom="1134" w:left="1134" w:header="57" w:footer="5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0MjS2MLQ0NzcyMTZS0lEKTi0uzszPAykwrAUAiYuEJCwAAAA="/>
  </w:docVars>
  <w:rsids>
    <w:rsidRoot w:val="009173F7"/>
    <w:rsid w:val="00312749"/>
    <w:rsid w:val="00660C2A"/>
    <w:rsid w:val="008E020A"/>
    <w:rsid w:val="00915DA8"/>
    <w:rsid w:val="009173F7"/>
    <w:rsid w:val="0094509C"/>
    <w:rsid w:val="00C74F1E"/>
    <w:rsid w:val="00E73DC8"/>
    <w:rsid w:val="41A2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imes New Roman" w:hAnsi="Times New Roman" w:eastAsia="仿宋_GB2312" w:cstheme="minorBidi"/>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unhideWhenUsed/>
    <w:qFormat/>
    <w:uiPriority w:val="0"/>
    <w:pPr>
      <w:widowControl w:val="0"/>
      <w:spacing w:line="360" w:lineRule="auto"/>
      <w:ind w:firstLine="480" w:firstLineChars="200"/>
      <w:jc w:val="both"/>
    </w:pPr>
    <w:rPr>
      <w:rFonts w:hint="eastAsia" w:ascii="仿宋_GB2312" w:eastAsia="宋体" w:cs="Times New Roman"/>
      <w:sz w:val="24"/>
      <w:szCs w:val="20"/>
    </w:rPr>
  </w:style>
  <w:style w:type="paragraph" w:styleId="3">
    <w:name w:val="footer"/>
    <w:basedOn w:val="1"/>
    <w:link w:val="10"/>
    <w:unhideWhenUsed/>
    <w:qFormat/>
    <w:uiPriority w:val="99"/>
    <w:pPr>
      <w:widowControl w:val="0"/>
      <w:tabs>
        <w:tab w:val="center" w:pos="4153"/>
        <w:tab w:val="right" w:pos="8306"/>
      </w:tabs>
      <w:snapToGrid w:val="0"/>
      <w:spacing w:line="240" w:lineRule="auto"/>
    </w:pPr>
    <w:rPr>
      <w:rFonts w:asciiTheme="minorHAnsi" w:hAnsiTheme="minorHAnsi" w:eastAsiaTheme="minorEastAsia"/>
      <w:sz w:val="18"/>
      <w:szCs w:val="18"/>
    </w:rPr>
  </w:style>
  <w:style w:type="paragraph" w:styleId="4">
    <w:name w:val="header"/>
    <w:basedOn w:val="1"/>
    <w:link w:val="9"/>
    <w:unhideWhenUsed/>
    <w:qFormat/>
    <w:uiPriority w:val="99"/>
    <w:pPr>
      <w:widowControl w:val="0"/>
      <w:pBdr>
        <w:bottom w:val="single" w:color="auto" w:sz="6" w:space="1"/>
      </w:pBdr>
      <w:tabs>
        <w:tab w:val="center" w:pos="4153"/>
        <w:tab w:val="right" w:pos="8306"/>
      </w:tabs>
      <w:snapToGrid w:val="0"/>
      <w:spacing w:line="240" w:lineRule="auto"/>
      <w:jc w:val="center"/>
    </w:pPr>
    <w:rPr>
      <w:rFonts w:asciiTheme="minorHAnsi" w:hAnsiTheme="minorHAnsi" w:eastAsiaTheme="minorEastAsia"/>
      <w:sz w:val="18"/>
      <w:szCs w:val="18"/>
    </w:rPr>
  </w:style>
  <w:style w:type="paragraph" w:styleId="5">
    <w:name w:val="Normal (Web)"/>
    <w:basedOn w:val="1"/>
    <w:unhideWhenUsed/>
    <w:qFormat/>
    <w:uiPriority w:val="99"/>
    <w:rPr>
      <w:sz w:val="24"/>
    </w:rPr>
  </w:style>
  <w:style w:type="table" w:styleId="7">
    <w:name w:val="Table Grid"/>
    <w:basedOn w:val="6"/>
    <w:qFormat/>
    <w:uiPriority w:val="59"/>
    <w:rPr>
      <w:rFonts w:ascii="Calibri" w:hAnsi="Calibri" w:eastAsia="微软雅黑"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纯文本 字符"/>
    <w:basedOn w:val="8"/>
    <w:link w:val="2"/>
    <w:qFormat/>
    <w:uiPriority w:val="0"/>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534</Words>
  <Characters>3044</Characters>
  <Lines>25</Lines>
  <Paragraphs>7</Paragraphs>
  <TotalTime>22</TotalTime>
  <ScaleCrop>false</ScaleCrop>
  <LinksUpToDate>false</LinksUpToDate>
  <CharactersWithSpaces>3571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2020-06-18T02:36:00Z</dcterms:created>
  <dc:creator>胜凯 刘</dc:creator>
  <cp:lastModifiedBy>a</cp:lastModifiedBy>
  <dcterms:modified xsi:type="dcterms:W3CDTF">2020-06-18T06:54:51Z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