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eastAsiaTheme="minorEastAsia" w:cstheme="minorEastAsia"/>
          <w:sz w:val="28"/>
          <w:szCs w:val="28"/>
        </w:rPr>
      </w:pPr>
      <w:bookmarkStart w:id="0" w:name="_Toc444697626"/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2023年第二十三届中国国际工业博览会项目征集通知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各二级单位、相关老师：</w:t>
      </w:r>
    </w:p>
    <w:p>
      <w:pPr>
        <w:ind w:left="0" w:leftChars="0" w:firstLine="638" w:firstLineChars="228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2023年第二十三届中国国际工业博览会将于2023年9月19日~23日在国家会展中心（上海）举行，东华大学将在高校展区展示学校优秀创新创业科研成果，学校教师如有能体现学校科技创新水平，拥有自主知识产权和相关展品，具有良好的经济和社会效益的科研项目，可以报名参展。</w:t>
      </w:r>
    </w:p>
    <w:p>
      <w:pPr>
        <w:ind w:left="0" w:leftChars="0" w:firstLine="638" w:firstLineChars="228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请填写附件《第二十三届工博会展品推介表》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另附填写示范供参考）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，包括图片数张（单张图片大小不少于1M），发送至邮箱cgzh@dhu.edu.cn。报名截止时间2023年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月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31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日。</w:t>
      </w:r>
    </w:p>
    <w:p>
      <w:pPr>
        <w:ind w:left="0" w:leftChars="0" w:firstLine="638" w:firstLineChars="228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联系人：郝道欣  电话：67798751、67798715</w:t>
      </w:r>
    </w:p>
    <w:p>
      <w:pPr>
        <w:ind w:left="0" w:leftChars="0" w:firstLine="638" w:firstLineChars="228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邮箱：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instrText xml:space="preserve"> HYPERLINK "mailto:cgzh@dhu.edu.cn" </w:instrTex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fldChar w:fldCharType="separate"/>
      </w:r>
      <w:r>
        <w:rPr>
          <w:rStyle w:val="15"/>
          <w:rFonts w:hint="eastAsia" w:asciiTheme="minorEastAsia" w:hAnsiTheme="minorEastAsia" w:eastAsiaTheme="minorEastAsia" w:cstheme="minorEastAsia"/>
          <w:sz w:val="28"/>
          <w:szCs w:val="28"/>
        </w:rPr>
        <w:t>cgzh@dhu.edu.cn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fldChar w:fldCharType="end"/>
      </w:r>
    </w:p>
    <w:p>
      <w:pPr>
        <w:ind w:left="0" w:leftChars="0" w:firstLine="638" w:firstLineChars="228"/>
        <w:jc w:val="right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科学技术研究院</w:t>
      </w:r>
    </w:p>
    <w:p>
      <w:pPr>
        <w:ind w:left="0" w:leftChars="0" w:firstLine="638" w:firstLineChars="228"/>
        <w:jc w:val="right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2023年7月10日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br w:type="page"/>
      </w:r>
    </w:p>
    <w:p>
      <w:pPr>
        <w:pStyle w:val="4"/>
        <w:spacing w:before="240" w:line="415" w:lineRule="auto"/>
        <w:jc w:val="center"/>
      </w:pPr>
      <w:r>
        <w:rPr>
          <w:rFonts w:hint="eastAsia"/>
        </w:rPr>
        <w:t>展品推介表</w:t>
      </w:r>
      <w:bookmarkEnd w:id="0"/>
    </w:p>
    <w:tbl>
      <w:tblPr>
        <w:tblStyle w:val="12"/>
        <w:tblpPr w:leftFromText="180" w:rightFromText="180" w:vertAnchor="text" w:horzAnchor="margin" w:tblpY="137"/>
        <w:tblW w:w="864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420"/>
        <w:gridCol w:w="3571"/>
        <w:gridCol w:w="1375"/>
        <w:gridCol w:w="247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227" w:type="dxa"/>
            <w:gridSpan w:val="2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申报单位</w:t>
            </w:r>
          </w:p>
        </w:tc>
        <w:tc>
          <w:tcPr>
            <w:tcW w:w="7421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227" w:type="dxa"/>
            <w:gridSpan w:val="2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合作单位</w:t>
            </w:r>
          </w:p>
        </w:tc>
        <w:tc>
          <w:tcPr>
            <w:tcW w:w="7421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227" w:type="dxa"/>
            <w:gridSpan w:val="2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项目名称</w:t>
            </w:r>
          </w:p>
        </w:tc>
        <w:tc>
          <w:tcPr>
            <w:tcW w:w="7421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227" w:type="dxa"/>
            <w:gridSpan w:val="2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所属类别</w:t>
            </w:r>
          </w:p>
        </w:tc>
        <w:tc>
          <w:tcPr>
            <w:tcW w:w="7421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□数控机床与金属加工专用设备 □工业自动化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□工业机器人</w:t>
            </w: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□环保技术与设备 </w:t>
            </w:r>
            <w:r>
              <w:rPr>
                <w:rFonts w:ascii="宋体" w:hAnsi="宋体"/>
                <w:sz w:val="24"/>
              </w:rPr>
              <w:t xml:space="preserve">            </w:t>
            </w:r>
            <w:r>
              <w:rPr>
                <w:rFonts w:hint="eastAsia" w:ascii="宋体" w:hAnsi="宋体"/>
                <w:sz w:val="24"/>
              </w:rPr>
              <w:t>□信息与通信技术及产品</w:t>
            </w: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□新能源与电力电工设备、器材 </w:t>
            </w:r>
            <w:r>
              <w:rPr>
                <w:rFonts w:hint="eastAsia" w:ascii="宋体" w:hAnsi="宋体"/>
                <w:sz w:val="24"/>
              </w:rPr>
              <w:t xml:space="preserve">□新能源汽车  </w:t>
            </w:r>
            <w:r>
              <w:rPr>
                <w:rFonts w:hint="eastAsia" w:ascii="宋体" w:hAnsi="宋体"/>
                <w:sz w:val="24"/>
              </w:rPr>
              <w:t>□新材料</w:t>
            </w:r>
          </w:p>
          <w:p>
            <w:pPr>
              <w:spacing w:line="360" w:lineRule="auto"/>
              <w:rPr>
                <w:rFonts w:ascii="宋体" w:hAnsi="宋体"/>
                <w:sz w:val="24"/>
                <w:highlight w:val="yellow"/>
              </w:rPr>
            </w:pPr>
            <w:r>
              <w:rPr>
                <w:rFonts w:hint="eastAsia" w:ascii="宋体" w:hAnsi="宋体"/>
                <w:sz w:val="24"/>
              </w:rPr>
              <w:t xml:space="preserve">□民用航空和航天技术及产品   </w:t>
            </w:r>
            <w:r>
              <w:rPr>
                <w:rFonts w:hint="eastAsia" w:ascii="宋体" w:hAnsi="宋体"/>
                <w:sz w:val="24"/>
              </w:rPr>
              <w:t xml:space="preserve">□生物医药    </w:t>
            </w:r>
            <w:r>
              <w:rPr>
                <w:rFonts w:hint="eastAsia" w:ascii="宋体" w:hAnsi="宋体"/>
                <w:sz w:val="24"/>
              </w:rPr>
              <w:t>□其它</w:t>
            </w:r>
            <w:bookmarkStart w:id="4" w:name="_GoBack"/>
            <w:bookmarkEnd w:id="4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22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负责人</w:t>
            </w:r>
          </w:p>
        </w:tc>
        <w:tc>
          <w:tcPr>
            <w:tcW w:w="3571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7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联系人</w:t>
            </w:r>
          </w:p>
        </w:tc>
        <w:tc>
          <w:tcPr>
            <w:tcW w:w="2475" w:type="dxa"/>
            <w:vAlign w:val="center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22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电  话</w:t>
            </w:r>
          </w:p>
        </w:tc>
        <w:tc>
          <w:tcPr>
            <w:tcW w:w="3571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7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邮  箱</w:t>
            </w:r>
          </w:p>
        </w:tc>
        <w:tc>
          <w:tcPr>
            <w:tcW w:w="2475" w:type="dxa"/>
            <w:vAlign w:val="center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227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 w:cs="Calibri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是否参加现场活动</w:t>
            </w:r>
          </w:p>
        </w:tc>
        <w:tc>
          <w:tcPr>
            <w:tcW w:w="742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□路演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□签约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</w:rPr>
              <w:t>□其他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___________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0" w:hRule="atLeast"/>
        </w:trPr>
        <w:tc>
          <w:tcPr>
            <w:tcW w:w="807" w:type="dxa"/>
            <w:textDirection w:val="tbRlV"/>
          </w:tcPr>
          <w:p>
            <w:pPr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展 品 简 介</w:t>
            </w:r>
          </w:p>
        </w:tc>
        <w:tc>
          <w:tcPr>
            <w:tcW w:w="7841" w:type="dxa"/>
            <w:gridSpan w:val="4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（简要概括技术要点，技术创新点释义，500字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左右</w:t>
            </w:r>
            <w:r>
              <w:rPr>
                <w:rFonts w:hint="eastAsia" w:ascii="宋体" w:hAnsi="宋体"/>
                <w:b/>
                <w:sz w:val="24"/>
              </w:rPr>
              <w:t>）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1" w:hRule="atLeast"/>
        </w:trPr>
        <w:tc>
          <w:tcPr>
            <w:tcW w:w="807" w:type="dxa"/>
            <w:textDirection w:val="tbRlV"/>
          </w:tcPr>
          <w:p>
            <w:pPr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展品相关图片</w:t>
            </w:r>
          </w:p>
        </w:tc>
        <w:tc>
          <w:tcPr>
            <w:tcW w:w="7841" w:type="dxa"/>
            <w:gridSpan w:val="4"/>
          </w:tcPr>
          <w:p>
            <w:pPr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（图片JPG格式，大小不小于1M）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88" w:hRule="atLeast"/>
        </w:trPr>
        <w:tc>
          <w:tcPr>
            <w:tcW w:w="807" w:type="dxa"/>
            <w:textDirection w:val="tbRlV"/>
          </w:tcPr>
          <w:p>
            <w:pPr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获奖情况</w:t>
            </w:r>
          </w:p>
        </w:tc>
        <w:tc>
          <w:tcPr>
            <w:tcW w:w="7841" w:type="dxa"/>
            <w:gridSpan w:val="4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</w:trPr>
        <w:tc>
          <w:tcPr>
            <w:tcW w:w="807" w:type="dxa"/>
            <w:textDirection w:val="tbRlV"/>
          </w:tcPr>
          <w:p>
            <w:pPr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专利情况</w:t>
            </w:r>
          </w:p>
        </w:tc>
        <w:tc>
          <w:tcPr>
            <w:tcW w:w="7841" w:type="dxa"/>
            <w:gridSpan w:val="4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8" w:hRule="atLeast"/>
        </w:trPr>
        <w:tc>
          <w:tcPr>
            <w:tcW w:w="807" w:type="dxa"/>
            <w:textDirection w:val="tbRlV"/>
          </w:tcPr>
          <w:p>
            <w:pPr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应用情况</w:t>
            </w:r>
          </w:p>
        </w:tc>
        <w:tc>
          <w:tcPr>
            <w:tcW w:w="7841" w:type="dxa"/>
            <w:gridSpan w:val="4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（应用领域，已产生的社会效益，经济效益）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</w:tr>
    </w:tbl>
    <w:p>
      <w:pPr>
        <w:rPr>
          <w:rFonts w:ascii="宋体" w:hAnsi="宋体"/>
          <w:color w:val="000000"/>
          <w:sz w:val="24"/>
        </w:rPr>
      </w:pPr>
    </w:p>
    <w:p>
      <w:pPr>
        <w:rPr>
          <w:rFonts w:hint="eastAsia"/>
        </w:rPr>
      </w:pPr>
      <w:r>
        <w:rPr>
          <w:rFonts w:hint="eastAsia" w:ascii="宋体" w:hAnsi="宋体"/>
          <w:color w:val="000000"/>
          <w:sz w:val="24"/>
        </w:rPr>
        <w:t>注：本表不能填写涉密内容，</w:t>
      </w:r>
      <w:bookmarkStart w:id="1" w:name="_Toc444697627"/>
      <w:r>
        <w:rPr>
          <w:rFonts w:hint="eastAsia"/>
        </w:rPr>
        <w:br w:type="page"/>
      </w:r>
    </w:p>
    <w:p>
      <w:pPr>
        <w:pStyle w:val="4"/>
        <w:jc w:val="center"/>
      </w:pPr>
      <w:r>
        <w:rPr>
          <w:rFonts w:hint="eastAsia"/>
        </w:rPr>
        <w:t>展品推介表（示范）</w:t>
      </w:r>
      <w:bookmarkEnd w:id="1"/>
    </w:p>
    <w:tbl>
      <w:tblPr>
        <w:tblStyle w:val="12"/>
        <w:tblW w:w="875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3705"/>
        <w:gridCol w:w="1379"/>
        <w:gridCol w:w="254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129" w:type="dxa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申报单位</w:t>
            </w:r>
          </w:p>
        </w:tc>
        <w:tc>
          <w:tcPr>
            <w:tcW w:w="7626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华北电力大学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129" w:type="dxa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合作单位</w:t>
            </w:r>
          </w:p>
        </w:tc>
        <w:tc>
          <w:tcPr>
            <w:tcW w:w="7626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XXXXXX公司</w:t>
            </w:r>
            <w:r>
              <w:rPr>
                <w:rFonts w:hint="eastAsia" w:ascii="宋体" w:hAnsi="宋体"/>
                <w:b/>
                <w:sz w:val="24"/>
              </w:rPr>
              <w:t>（如无，则不填）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129" w:type="dxa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项目名称</w:t>
            </w:r>
          </w:p>
        </w:tc>
        <w:tc>
          <w:tcPr>
            <w:tcW w:w="7626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火电直接空冷机组空气流场导流装置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29" w:type="dxa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所属类别</w:t>
            </w:r>
          </w:p>
        </w:tc>
        <w:tc>
          <w:tcPr>
            <w:tcW w:w="7626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□数控机床与金属加工专用设备 □工业自动化 </w:t>
            </w:r>
            <w:r>
              <w:rPr>
                <w:rFonts w:ascii="宋体" w:hAnsi="宋体"/>
                <w:sz w:val="24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□工业机器人</w:t>
            </w: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□环保技术与设备 </w:t>
            </w:r>
            <w:r>
              <w:rPr>
                <w:rFonts w:ascii="宋体" w:hAnsi="宋体"/>
                <w:sz w:val="24"/>
              </w:rPr>
              <w:t xml:space="preserve">            </w:t>
            </w:r>
            <w:r>
              <w:rPr>
                <w:rFonts w:hint="eastAsia" w:ascii="宋体" w:hAnsi="宋体"/>
                <w:sz w:val="24"/>
              </w:rPr>
              <w:t>□信息与通信技术及产品</w:t>
            </w: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□新能源与电力电工设备、器材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□新能源汽车 </w:t>
            </w:r>
            <w:r>
              <w:rPr>
                <w:rFonts w:ascii="宋体" w:hAnsi="宋体"/>
                <w:sz w:val="24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□新材料</w:t>
            </w: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□民用航空和航天技术及产品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□生物医药 </w:t>
            </w:r>
            <w:r>
              <w:rPr>
                <w:rFonts w:ascii="宋体" w:hAnsi="宋体"/>
                <w:sz w:val="24"/>
              </w:rPr>
              <w:t xml:space="preserve">       </w:t>
            </w:r>
            <w:r>
              <w:rPr>
                <w:rFonts w:hint="eastAsia" w:ascii="宋体" w:hAnsi="宋体"/>
                <w:sz w:val="24"/>
              </w:rPr>
              <w:t>□其它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负责人</w:t>
            </w:r>
          </w:p>
        </w:tc>
        <w:tc>
          <w:tcPr>
            <w:tcW w:w="370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79" w:type="dxa"/>
            <w:vAlign w:val="center"/>
          </w:tcPr>
          <w:p>
            <w:pPr>
              <w:jc w:val="center"/>
              <w:rPr>
                <w:rFonts w:hint="eastAsia" w:ascii="宋体" w:hAnsi="宋体" w:eastAsia="宋体" w:cs="Calibri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联系人</w:t>
            </w:r>
          </w:p>
        </w:tc>
        <w:tc>
          <w:tcPr>
            <w:tcW w:w="254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电  话</w:t>
            </w:r>
          </w:p>
        </w:tc>
        <w:tc>
          <w:tcPr>
            <w:tcW w:w="370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79" w:type="dxa"/>
            <w:vAlign w:val="center"/>
          </w:tcPr>
          <w:p>
            <w:pPr>
              <w:jc w:val="center"/>
              <w:rPr>
                <w:rFonts w:hint="eastAsia" w:ascii="宋体" w:hAnsi="宋体" w:eastAsia="宋体" w:cs="Calibri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邮  箱</w:t>
            </w:r>
          </w:p>
        </w:tc>
        <w:tc>
          <w:tcPr>
            <w:tcW w:w="254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lang w:val="en-US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是否参加现场活动</w:t>
            </w:r>
          </w:p>
        </w:tc>
        <w:tc>
          <w:tcPr>
            <w:tcW w:w="7626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□路演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□签约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</w:rPr>
              <w:t>□其他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___________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129" w:type="dxa"/>
            <w:textDirection w:val="tbRlV"/>
          </w:tcPr>
          <w:p>
            <w:pPr>
              <w:spacing w:line="360" w:lineRule="auto"/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展品简介</w:t>
            </w:r>
          </w:p>
        </w:tc>
        <w:tc>
          <w:tcPr>
            <w:tcW w:w="7626" w:type="dxa"/>
            <w:gridSpan w:val="3"/>
          </w:tcPr>
          <w:p>
            <w:pPr>
              <w:spacing w:line="360" w:lineRule="auto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（简要概括技术要点，技术创新点释义限500字）</w:t>
            </w:r>
          </w:p>
          <w:p>
            <w:pPr>
              <w:spacing w:line="360" w:lineRule="auto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该装置由直接空冷单元内部导流装置和空冷岛环境风诱导装置组成。空冷单元内部导流装置可重新组织空冷单元内部空气流场，提高空气利用效率，强化空冷凝汽器传热效果；环境风诱导装置可有效改善空冷轴流风机群进口气动性能，降低空冷机组运行背压，保障直接空冷机组安全、高效运行；该装置和国内同类产品相比结构简单，效果显著，能有效提高我国直接空冷机组安全经济运行水平，对于推进我国电站空冷技术发展和进步具有重要意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1" w:hRule="atLeast"/>
        </w:trPr>
        <w:tc>
          <w:tcPr>
            <w:tcW w:w="1129" w:type="dxa"/>
            <w:textDirection w:val="tbRlV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展品相关图片</w:t>
            </w:r>
          </w:p>
        </w:tc>
        <w:tc>
          <w:tcPr>
            <w:tcW w:w="7626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（图片JPG格式，大小不小于1M）</w:t>
            </w:r>
          </w:p>
          <w:p>
            <w:pPr>
              <w:spacing w:line="360" w:lineRule="auto"/>
              <w:jc w:val="center"/>
              <w:rPr>
                <w:rFonts w:ascii="宋体" w:hAnsi="宋体"/>
                <w:b/>
                <w:color w:val="555555"/>
                <w:sz w:val="24"/>
              </w:rPr>
            </w:pPr>
            <w:r>
              <w:rPr>
                <w:rFonts w:hint="eastAsia" w:ascii="宋体" w:hAnsi="宋体"/>
                <w:b/>
                <w:color w:val="555555"/>
                <w:sz w:val="24"/>
              </w:rPr>
              <w:drawing>
                <wp:inline distT="0" distB="0" distL="0" distR="0">
                  <wp:extent cx="2247900" cy="1676400"/>
                  <wp:effectExtent l="0" t="0" r="7620" b="0"/>
                  <wp:docPr id="1" name="图片 1" descr="空冷单元内部空气导流装置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空冷单元内部空气导流装置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7900" cy="1676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360" w:lineRule="auto"/>
              <w:ind w:firstLine="118" w:firstLineChars="49"/>
              <w:jc w:val="center"/>
              <w:rPr>
                <w:rFonts w:ascii="宋体" w:hAnsi="宋体"/>
                <w:b/>
                <w:color w:val="555555"/>
                <w:sz w:val="24"/>
              </w:rPr>
            </w:pPr>
            <w:r>
              <w:rPr>
                <w:rFonts w:hint="eastAsia" w:ascii="宋体" w:hAnsi="宋体"/>
                <w:b/>
                <w:color w:val="555555"/>
                <w:sz w:val="24"/>
              </w:rPr>
              <w:drawing>
                <wp:inline distT="0" distB="0" distL="0" distR="0">
                  <wp:extent cx="2247900" cy="1676400"/>
                  <wp:effectExtent l="19050" t="0" r="0" b="0"/>
                  <wp:docPr id="2" name="图片 2" descr="环境风诱导装置照片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环境风诱导装置照片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7900" cy="1676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空冷单元内部空气导流装置、环境风诱导装置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8" w:hRule="atLeast"/>
        </w:trPr>
        <w:tc>
          <w:tcPr>
            <w:tcW w:w="1129" w:type="dxa"/>
            <w:textDirection w:val="tbRlV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获奖情况</w:t>
            </w:r>
          </w:p>
        </w:tc>
        <w:tc>
          <w:tcPr>
            <w:tcW w:w="7626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1、获得2011年国家科学技术进步二等奖；</w:t>
            </w: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2、获得2010年教育部科技进步奖一等奖。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1" w:hRule="atLeast"/>
        </w:trPr>
        <w:tc>
          <w:tcPr>
            <w:tcW w:w="1129" w:type="dxa"/>
            <w:textDirection w:val="tbRlV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113" w:right="113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113" w:right="113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 利 情 况</w:t>
            </w:r>
          </w:p>
        </w:tc>
        <w:tc>
          <w:tcPr>
            <w:tcW w:w="762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已获国家授权发明专利2项，申请发明专利2项，实用新型专利2项。</w:t>
            </w: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1.获国家授权发明专利2项：</w:t>
            </w: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（1）直接空冷单元冷却空气导流装置， ZL200810227060.1；</w:t>
            </w: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（2）空冷平台支撑与环境风场诱导一体化装置，ZL200810226770.2。</w:t>
            </w: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2.目前申请的发明专利2项：</w:t>
            </w: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（1）直接空冷单元空气导流喷淋一体化装置， 201310106122.4；</w:t>
            </w: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（2）一种直接空冷单元内部导风装置， 201410210365.7。</w:t>
            </w: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3.目前申请实用新型专利2项：</w:t>
            </w: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（1）用于直接空冷单元内部的导风装置， 201420254060.1；</w:t>
            </w: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（2）用于直接空冷单元内部导流装置的安装结构， 201420337653.4。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0" w:hRule="atLeast"/>
        </w:trPr>
        <w:tc>
          <w:tcPr>
            <w:tcW w:w="1129" w:type="dxa"/>
            <w:textDirection w:val="tbRlV"/>
          </w:tcPr>
          <w:p>
            <w:pPr>
              <w:spacing w:line="360" w:lineRule="auto"/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应 用 情 况 </w:t>
            </w:r>
          </w:p>
        </w:tc>
        <w:tc>
          <w:tcPr>
            <w:tcW w:w="7626" w:type="dxa"/>
            <w:gridSpan w:val="3"/>
          </w:tcPr>
          <w:p>
            <w:pPr>
              <w:spacing w:line="360" w:lineRule="auto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（应用领域，已产生的社会效益，经济效益）</w:t>
            </w:r>
          </w:p>
          <w:p>
            <w:pPr>
              <w:spacing w:line="360" w:lineRule="auto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据统计，目前我国直接空冷机组的装机容量已经超过2亿千瓦，如果本装置在全国范围内全面推广应用，预计每年可节约标煤545万吨，减少CO</w:t>
            </w:r>
            <w:r>
              <w:rPr>
                <w:rFonts w:hint="eastAsia" w:ascii="宋体" w:hAnsi="宋体"/>
                <w:sz w:val="24"/>
                <w:vertAlign w:val="subscript"/>
              </w:rPr>
              <w:t>2</w:t>
            </w:r>
            <w:r>
              <w:rPr>
                <w:rFonts w:hint="eastAsia" w:ascii="宋体" w:hAnsi="宋体"/>
                <w:sz w:val="24"/>
              </w:rPr>
              <w:t>排放1330万吨以上，减少NO</w:t>
            </w:r>
            <w:r>
              <w:rPr>
                <w:rFonts w:hint="eastAsia" w:ascii="宋体" w:hAnsi="宋体"/>
                <w:sz w:val="24"/>
                <w:vertAlign w:val="subscript"/>
              </w:rPr>
              <w:t>X</w:t>
            </w:r>
            <w:r>
              <w:rPr>
                <w:rFonts w:hint="eastAsia" w:ascii="宋体" w:hAnsi="宋体"/>
                <w:sz w:val="24"/>
              </w:rPr>
              <w:t>排放2.4万吨以上，减少SO</w:t>
            </w:r>
            <w:r>
              <w:rPr>
                <w:rFonts w:hint="eastAsia" w:ascii="宋体" w:hAnsi="宋体"/>
                <w:sz w:val="24"/>
                <w:vertAlign w:val="subscript"/>
              </w:rPr>
              <w:t>2</w:t>
            </w:r>
            <w:r>
              <w:rPr>
                <w:rFonts w:hint="eastAsia" w:ascii="宋体" w:hAnsi="宋体"/>
                <w:sz w:val="24"/>
              </w:rPr>
              <w:t>排放11吨以上，每年可产生24亿元以上直接经济效益，带动相关产值约65亿元，每年可节约资金达45亿元以上。</w:t>
            </w:r>
          </w:p>
        </w:tc>
      </w:tr>
    </w:tbl>
    <w:p>
      <w:bookmarkStart w:id="2" w:name="_Toc444697628"/>
      <w:bookmarkStart w:id="3" w:name="_Toc389557956"/>
    </w:p>
    <w:p/>
    <w:bookmarkEnd w:id="2"/>
    <w:bookmarkEnd w:id="3"/>
    <w:p>
      <w:pPr>
        <w:spacing w:line="360" w:lineRule="auto"/>
        <w:rPr>
          <w:rFonts w:ascii="宋体" w:hAnsi="宋体"/>
          <w:color w:val="000000"/>
          <w:sz w:val="24"/>
          <w:lang w:val="de-DE"/>
        </w:rPr>
      </w:pPr>
    </w:p>
    <w:sectPr>
      <w:footerReference r:id="rId3" w:type="default"/>
      <w:pgSz w:w="11906" w:h="16838"/>
      <w:pgMar w:top="1440" w:right="1797" w:bottom="1440" w:left="1797" w:header="851" w:footer="992" w:gutter="0"/>
      <w:pgNumType w:fmt="numberInDash" w:start="24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outside" w:y="1"/>
      <w:rPr>
        <w:rStyle w:val="14"/>
      </w:rPr>
    </w:pPr>
    <w:r>
      <w:rPr>
        <w:rStyle w:val="14"/>
      </w:rPr>
      <w:fldChar w:fldCharType="begin"/>
    </w:r>
    <w:r>
      <w:rPr>
        <w:rStyle w:val="14"/>
      </w:rPr>
      <w:instrText xml:space="preserve">PAGE  </w:instrText>
    </w:r>
    <w:r>
      <w:rPr>
        <w:rStyle w:val="14"/>
      </w:rPr>
      <w:fldChar w:fldCharType="separate"/>
    </w:r>
    <w:r>
      <w:rPr>
        <w:rStyle w:val="14"/>
      </w:rPr>
      <w:t>- 11 -</w:t>
    </w:r>
    <w:r>
      <w:rPr>
        <w:rStyle w:val="14"/>
      </w:rPr>
      <w:fldChar w:fldCharType="end"/>
    </w:r>
  </w:p>
  <w:p>
    <w:pPr>
      <w:pStyle w:val="7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0"/>
  <w:bordersDoNotSurroundFooter w:val="0"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diYWVhOWJhOGNjNmQxM2UzZjY3ZDUwMjI0YjkyZGEifQ=="/>
  </w:docVars>
  <w:rsids>
    <w:rsidRoot w:val="00841C26"/>
    <w:rsid w:val="00026CBE"/>
    <w:rsid w:val="000A0449"/>
    <w:rsid w:val="000B6D33"/>
    <w:rsid w:val="000E60B5"/>
    <w:rsid w:val="001455B8"/>
    <w:rsid w:val="002204CD"/>
    <w:rsid w:val="0028155B"/>
    <w:rsid w:val="0028379F"/>
    <w:rsid w:val="002D3858"/>
    <w:rsid w:val="002E189C"/>
    <w:rsid w:val="00300E1B"/>
    <w:rsid w:val="00321616"/>
    <w:rsid w:val="003656E5"/>
    <w:rsid w:val="00367F1F"/>
    <w:rsid w:val="003A17D7"/>
    <w:rsid w:val="00424B34"/>
    <w:rsid w:val="00435C67"/>
    <w:rsid w:val="004B7DEE"/>
    <w:rsid w:val="004F5DD9"/>
    <w:rsid w:val="00510039"/>
    <w:rsid w:val="00555469"/>
    <w:rsid w:val="005A6E0A"/>
    <w:rsid w:val="005E7BEA"/>
    <w:rsid w:val="006277DD"/>
    <w:rsid w:val="00695A40"/>
    <w:rsid w:val="006A125B"/>
    <w:rsid w:val="0070770E"/>
    <w:rsid w:val="00785CD3"/>
    <w:rsid w:val="007D36B9"/>
    <w:rsid w:val="007F650F"/>
    <w:rsid w:val="00840F1D"/>
    <w:rsid w:val="00841C26"/>
    <w:rsid w:val="00871FD1"/>
    <w:rsid w:val="0093245A"/>
    <w:rsid w:val="009571A5"/>
    <w:rsid w:val="009A3C6F"/>
    <w:rsid w:val="009F79E6"/>
    <w:rsid w:val="00A23055"/>
    <w:rsid w:val="00A46630"/>
    <w:rsid w:val="00A60A69"/>
    <w:rsid w:val="00AE05B5"/>
    <w:rsid w:val="00BE53C4"/>
    <w:rsid w:val="00C23120"/>
    <w:rsid w:val="00C7477E"/>
    <w:rsid w:val="00C77469"/>
    <w:rsid w:val="00C84E8B"/>
    <w:rsid w:val="00CF4448"/>
    <w:rsid w:val="00D31063"/>
    <w:rsid w:val="00E5317E"/>
    <w:rsid w:val="00E914BF"/>
    <w:rsid w:val="00EC1CD9"/>
    <w:rsid w:val="00F434B1"/>
    <w:rsid w:val="00F437B8"/>
    <w:rsid w:val="00F76470"/>
    <w:rsid w:val="00FA6CC1"/>
    <w:rsid w:val="00FF1D7F"/>
    <w:rsid w:val="10483CA8"/>
    <w:rsid w:val="1F3E34A9"/>
    <w:rsid w:val="2A6207DC"/>
    <w:rsid w:val="3E1028E4"/>
    <w:rsid w:val="3E952238"/>
    <w:rsid w:val="3F3E2844"/>
    <w:rsid w:val="409E6DEB"/>
    <w:rsid w:val="5D7D1CC5"/>
    <w:rsid w:val="5F97397D"/>
    <w:rsid w:val="60064AB1"/>
    <w:rsid w:val="6CDD2DBC"/>
    <w:rsid w:val="741823DD"/>
    <w:rsid w:val="76A51353"/>
    <w:rsid w:val="7F903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0" w:semiHidden="0" w:name="heading 2" w:locked="1"/>
    <w:lsdException w:qFormat="1" w:unhideWhenUsed="0" w:uiPriority="0" w:semiHidden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iPriority="0" w:semiHidden="0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23"/>
    <w:qFormat/>
    <w:locked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 w:cs="Times New Roman"/>
      <w:b/>
      <w:bCs/>
      <w:sz w:val="32"/>
      <w:szCs w:val="32"/>
    </w:rPr>
  </w:style>
  <w:style w:type="paragraph" w:styleId="4">
    <w:name w:val="heading 3"/>
    <w:basedOn w:val="1"/>
    <w:next w:val="1"/>
    <w:link w:val="24"/>
    <w:qFormat/>
    <w:locked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 w:cs="Times New Roman"/>
      <w:b/>
      <w:bCs/>
      <w:sz w:val="32"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25"/>
    <w:semiHidden/>
    <w:unhideWhenUsed/>
    <w:qFormat/>
    <w:uiPriority w:val="99"/>
    <w:pPr>
      <w:jc w:val="left"/>
    </w:pPr>
  </w:style>
  <w:style w:type="paragraph" w:styleId="6">
    <w:name w:val="Balloon Text"/>
    <w:basedOn w:val="1"/>
    <w:link w:val="22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Indent 3"/>
    <w:basedOn w:val="1"/>
    <w:link w:val="21"/>
    <w:unhideWhenUsed/>
    <w:qFormat/>
    <w:uiPriority w:val="0"/>
    <w:pPr>
      <w:spacing w:beforeLines="50" w:afterLines="50" w:line="520" w:lineRule="exact"/>
      <w:ind w:firstLine="560" w:firstLineChars="200"/>
    </w:pPr>
    <w:rPr>
      <w:rFonts w:ascii="Times New Roman" w:hAnsi="Times New Roman" w:eastAsia="黑体" w:cs="Times New Roman"/>
      <w:sz w:val="28"/>
      <w:szCs w:val="20"/>
    </w:rPr>
  </w:style>
  <w:style w:type="paragraph" w:styleId="1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annotation subject"/>
    <w:basedOn w:val="5"/>
    <w:next w:val="5"/>
    <w:link w:val="26"/>
    <w:semiHidden/>
    <w:unhideWhenUsed/>
    <w:qFormat/>
    <w:uiPriority w:val="99"/>
    <w:rPr>
      <w:b/>
      <w:bCs/>
    </w:rPr>
  </w:style>
  <w:style w:type="character" w:styleId="14">
    <w:name w:val="page number"/>
    <w:basedOn w:val="13"/>
    <w:qFormat/>
    <w:uiPriority w:val="0"/>
  </w:style>
  <w:style w:type="character" w:styleId="15">
    <w:name w:val="Hyperlink"/>
    <w:qFormat/>
    <w:uiPriority w:val="0"/>
    <w:rPr>
      <w:color w:val="0000FF"/>
      <w:u w:val="single"/>
    </w:rPr>
  </w:style>
  <w:style w:type="character" w:styleId="16">
    <w:name w:val="annotation reference"/>
    <w:basedOn w:val="13"/>
    <w:semiHidden/>
    <w:unhideWhenUsed/>
    <w:qFormat/>
    <w:uiPriority w:val="99"/>
    <w:rPr>
      <w:sz w:val="21"/>
      <w:szCs w:val="21"/>
    </w:rPr>
  </w:style>
  <w:style w:type="character" w:customStyle="1" w:styleId="17">
    <w:name w:val="标题 1 Char"/>
    <w:basedOn w:val="13"/>
    <w:link w:val="2"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8">
    <w:name w:val="页眉 Char"/>
    <w:basedOn w:val="13"/>
    <w:link w:val="8"/>
    <w:qFormat/>
    <w:locked/>
    <w:uiPriority w:val="0"/>
    <w:rPr>
      <w:sz w:val="18"/>
      <w:szCs w:val="18"/>
    </w:rPr>
  </w:style>
  <w:style w:type="character" w:customStyle="1" w:styleId="19">
    <w:name w:val="页脚 Char"/>
    <w:basedOn w:val="13"/>
    <w:link w:val="7"/>
    <w:qFormat/>
    <w:locked/>
    <w:uiPriority w:val="99"/>
    <w:rPr>
      <w:sz w:val="18"/>
      <w:szCs w:val="18"/>
    </w:rPr>
  </w:style>
  <w:style w:type="paragraph" w:styleId="20">
    <w:name w:val="List Paragraph"/>
    <w:basedOn w:val="1"/>
    <w:qFormat/>
    <w:uiPriority w:val="99"/>
    <w:pPr>
      <w:ind w:firstLine="420" w:firstLineChars="200"/>
    </w:pPr>
  </w:style>
  <w:style w:type="character" w:customStyle="1" w:styleId="21">
    <w:name w:val="正文文本缩进 3 Char"/>
    <w:basedOn w:val="13"/>
    <w:link w:val="9"/>
    <w:qFormat/>
    <w:uiPriority w:val="0"/>
    <w:rPr>
      <w:rFonts w:ascii="Times New Roman" w:hAnsi="Times New Roman" w:eastAsia="黑体" w:cs="Times New Roman"/>
      <w:sz w:val="28"/>
      <w:szCs w:val="20"/>
    </w:rPr>
  </w:style>
  <w:style w:type="character" w:customStyle="1" w:styleId="22">
    <w:name w:val="批注框文本 Char"/>
    <w:basedOn w:val="13"/>
    <w:link w:val="6"/>
    <w:semiHidden/>
    <w:qFormat/>
    <w:uiPriority w:val="99"/>
    <w:rPr>
      <w:rFonts w:cs="Calibri"/>
      <w:sz w:val="18"/>
      <w:szCs w:val="18"/>
    </w:rPr>
  </w:style>
  <w:style w:type="character" w:customStyle="1" w:styleId="23">
    <w:name w:val="标题 2 Char"/>
    <w:basedOn w:val="13"/>
    <w:link w:val="3"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24">
    <w:name w:val="标题 3 Char"/>
    <w:basedOn w:val="13"/>
    <w:link w:val="4"/>
    <w:qFormat/>
    <w:uiPriority w:val="0"/>
    <w:rPr>
      <w:rFonts w:ascii="Times New Roman" w:hAnsi="Times New Roman" w:cs="Times New Roman"/>
      <w:b/>
      <w:bCs/>
      <w:sz w:val="32"/>
      <w:szCs w:val="32"/>
    </w:rPr>
  </w:style>
  <w:style w:type="character" w:customStyle="1" w:styleId="25">
    <w:name w:val="批注文字 Char"/>
    <w:basedOn w:val="13"/>
    <w:link w:val="5"/>
    <w:semiHidden/>
    <w:qFormat/>
    <w:uiPriority w:val="99"/>
    <w:rPr>
      <w:rFonts w:cs="Calibri"/>
      <w:szCs w:val="21"/>
    </w:rPr>
  </w:style>
  <w:style w:type="character" w:customStyle="1" w:styleId="26">
    <w:name w:val="批注主题 Char"/>
    <w:basedOn w:val="25"/>
    <w:link w:val="11"/>
    <w:semiHidden/>
    <w:qFormat/>
    <w:uiPriority w:val="99"/>
    <w:rPr>
      <w:rFonts w:cs="Calibri"/>
      <w:b/>
      <w:bCs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BB13E0-93AF-4468-A658-2CA0BFC0C7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10</Pages>
  <Words>1828</Words>
  <Characters>2112</Characters>
  <Lines>41</Lines>
  <Paragraphs>11</Paragraphs>
  <TotalTime>6</TotalTime>
  <ScaleCrop>false</ScaleCrop>
  <LinksUpToDate>false</LinksUpToDate>
  <CharactersWithSpaces>2482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2021-05-17T06:34:00Z</dcterms:created>
  <dc:creator>李未</dc:creator>
  <cp:lastModifiedBy>Hdx</cp:lastModifiedBy>
  <cp:lastPrinted>2021-05-25T01:08:00Z</cp:lastPrinted>
  <dcterms:modified xsi:type="dcterms:W3CDTF">2023-07-28T10:08:29Z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CC8937A44B39440D93AE0FD98479C33F_13</vt:lpwstr>
  </property>
</Properties>
</file>