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CF3D" w14:textId="04431833" w:rsidR="00D86332" w:rsidRPr="00FE5B7E" w:rsidRDefault="00D86332" w:rsidP="00D86332">
      <w:pPr>
        <w:rPr>
          <w:rFonts w:cs="Times New Roman"/>
          <w:sz w:val="28"/>
          <w:szCs w:val="28"/>
        </w:rPr>
      </w:pPr>
      <w:bookmarkStart w:id="0" w:name="_GoBack"/>
      <w:bookmarkEnd w:id="0"/>
      <w:r w:rsidRPr="00FE5B7E">
        <w:rPr>
          <w:rFonts w:cs="Times New Roman"/>
          <w:b/>
          <w:sz w:val="28"/>
          <w:szCs w:val="28"/>
        </w:rPr>
        <w:t>附件</w:t>
      </w:r>
      <w:r>
        <w:rPr>
          <w:rFonts w:cs="Times New Roman"/>
          <w:b/>
          <w:sz w:val="28"/>
          <w:szCs w:val="28"/>
        </w:rPr>
        <w:t>3</w:t>
      </w:r>
      <w:r w:rsidRPr="00FE5B7E">
        <w:rPr>
          <w:rFonts w:cs="Times New Roman"/>
          <w:b/>
          <w:sz w:val="28"/>
          <w:szCs w:val="28"/>
        </w:rPr>
        <w:t>：</w:t>
      </w:r>
    </w:p>
    <w:p w14:paraId="56574574" w14:textId="77777777" w:rsidR="00D86332" w:rsidRPr="00FE5B7E" w:rsidRDefault="00D86332" w:rsidP="00D86332">
      <w:pPr>
        <w:ind w:right="210"/>
        <w:jc w:val="left"/>
        <w:rPr>
          <w:rFonts w:cs="Times New Roman"/>
          <w:b/>
          <w:sz w:val="28"/>
          <w:szCs w:val="28"/>
        </w:rPr>
      </w:pPr>
    </w:p>
    <w:p w14:paraId="5DCA6C98" w14:textId="77777777" w:rsidR="00D86332" w:rsidRDefault="00D86332" w:rsidP="00D86332">
      <w:pPr>
        <w:adjustRightInd w:val="0"/>
        <w:jc w:val="center"/>
        <w:outlineLvl w:val="0"/>
        <w:rPr>
          <w:rFonts w:eastAsia="黑体"/>
          <w:b/>
          <w:color w:val="000000"/>
          <w:sz w:val="32"/>
          <w:szCs w:val="36"/>
        </w:rPr>
      </w:pPr>
      <w:bookmarkStart w:id="1" w:name="OLE_LINK15"/>
      <w:bookmarkStart w:id="2" w:name="OLE_LINK16"/>
      <w:r>
        <w:rPr>
          <w:rFonts w:eastAsia="黑体" w:hint="eastAsia"/>
          <w:b/>
          <w:color w:val="000000"/>
          <w:sz w:val="32"/>
          <w:szCs w:val="36"/>
        </w:rPr>
        <w:t>海派时尚设计及价值创造协同创新中心</w:t>
      </w:r>
    </w:p>
    <w:bookmarkEnd w:id="1"/>
    <w:bookmarkEnd w:id="2"/>
    <w:p w14:paraId="39B4DFC2" w14:textId="77777777" w:rsidR="00D86332" w:rsidRDefault="00D86332" w:rsidP="00D86332">
      <w:pPr>
        <w:adjustRightInd w:val="0"/>
        <w:spacing w:afterLines="100" w:after="312"/>
        <w:jc w:val="center"/>
        <w:outlineLvl w:val="0"/>
        <w:rPr>
          <w:rFonts w:eastAsia="黑体"/>
          <w:b/>
          <w:color w:val="000000"/>
          <w:sz w:val="32"/>
          <w:szCs w:val="36"/>
        </w:rPr>
      </w:pPr>
      <w:r>
        <w:rPr>
          <w:rFonts w:eastAsia="黑体" w:hint="eastAsia"/>
          <w:b/>
          <w:color w:val="000000"/>
          <w:sz w:val="32"/>
          <w:szCs w:val="36"/>
        </w:rPr>
        <w:t>开放课题管理制度</w:t>
      </w:r>
    </w:p>
    <w:p w14:paraId="6AF8E0ED"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第一章</w:t>
      </w:r>
      <w:r>
        <w:rPr>
          <w:rFonts w:eastAsia="仿宋" w:hint="eastAsia"/>
          <w:b/>
          <w:sz w:val="28"/>
          <w:szCs w:val="30"/>
        </w:rPr>
        <w:t xml:space="preserve"> </w:t>
      </w:r>
      <w:r>
        <w:rPr>
          <w:rFonts w:eastAsia="仿宋" w:hint="eastAsia"/>
          <w:b/>
          <w:sz w:val="28"/>
          <w:szCs w:val="30"/>
        </w:rPr>
        <w:t>总则</w:t>
      </w:r>
    </w:p>
    <w:p w14:paraId="68D9E0ED" w14:textId="77777777" w:rsidR="00D86332" w:rsidRDefault="00D86332" w:rsidP="00D86332">
      <w:pPr>
        <w:ind w:firstLineChars="200" w:firstLine="482"/>
        <w:rPr>
          <w:rFonts w:eastAsia="仿宋" w:hAnsi="仿宋"/>
        </w:rPr>
      </w:pPr>
      <w:r>
        <w:rPr>
          <w:rFonts w:eastAsia="仿宋" w:hAnsi="仿宋" w:hint="eastAsia"/>
          <w:b/>
        </w:rPr>
        <w:t>第一条</w:t>
      </w:r>
      <w:r>
        <w:rPr>
          <w:rFonts w:eastAsia="仿宋" w:hAnsi="仿宋" w:hint="eastAsia"/>
          <w:b/>
        </w:rPr>
        <w:t xml:space="preserve">  </w:t>
      </w:r>
      <w:r>
        <w:rPr>
          <w:rFonts w:eastAsia="仿宋" w:hAnsi="仿宋" w:hint="eastAsia"/>
        </w:rPr>
        <w:t>为加强中心开放课题管理，充分调动各方参与中心科研工作的积极性，为科研人员提供良好的发展平台，根据上海市教委《上海高校知识服务能力提升工程实施方案》有关文件精神，制定中心开放课题管理条例。</w:t>
      </w:r>
    </w:p>
    <w:p w14:paraId="0996D59E" w14:textId="77777777" w:rsidR="00D86332" w:rsidRDefault="00D86332" w:rsidP="00D86332">
      <w:pPr>
        <w:ind w:firstLineChars="200" w:firstLine="482"/>
        <w:rPr>
          <w:rFonts w:eastAsia="仿宋" w:hAnsi="仿宋"/>
        </w:rPr>
      </w:pPr>
      <w:r>
        <w:rPr>
          <w:rFonts w:eastAsia="仿宋" w:hAnsi="仿宋" w:hint="eastAsia"/>
          <w:b/>
        </w:rPr>
        <w:t>第二条</w:t>
      </w:r>
      <w:r>
        <w:rPr>
          <w:rFonts w:eastAsia="仿宋" w:hAnsi="仿宋" w:hint="eastAsia"/>
        </w:rPr>
        <w:t xml:space="preserve">  </w:t>
      </w:r>
      <w:r>
        <w:rPr>
          <w:rFonts w:eastAsia="仿宋" w:hAnsi="仿宋" w:hint="eastAsia"/>
        </w:rPr>
        <w:t>开放课题的设立旨在促进多学科融合，提升科学研究能力，建立可持续发展的科研组织模式，为实现中心建设目标服务。</w:t>
      </w:r>
    </w:p>
    <w:p w14:paraId="7A8DC8FD"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第二章</w:t>
      </w:r>
      <w:r>
        <w:rPr>
          <w:rFonts w:eastAsia="仿宋" w:hint="eastAsia"/>
          <w:b/>
          <w:sz w:val="28"/>
          <w:szCs w:val="30"/>
        </w:rPr>
        <w:t xml:space="preserve"> </w:t>
      </w:r>
      <w:r>
        <w:rPr>
          <w:rFonts w:eastAsia="仿宋" w:hint="eastAsia"/>
          <w:b/>
          <w:sz w:val="28"/>
          <w:szCs w:val="30"/>
        </w:rPr>
        <w:t>管理机构</w:t>
      </w:r>
    </w:p>
    <w:p w14:paraId="2C6493C3" w14:textId="77777777" w:rsidR="00D86332" w:rsidRDefault="00D86332" w:rsidP="00D86332">
      <w:pPr>
        <w:ind w:firstLineChars="200" w:firstLine="482"/>
        <w:rPr>
          <w:rFonts w:eastAsia="仿宋" w:hAnsi="仿宋"/>
        </w:rPr>
      </w:pPr>
      <w:r>
        <w:rPr>
          <w:rFonts w:eastAsia="仿宋" w:hAnsi="仿宋" w:hint="eastAsia"/>
          <w:b/>
        </w:rPr>
        <w:t>第三条</w:t>
      </w:r>
      <w:r>
        <w:rPr>
          <w:rFonts w:eastAsia="仿宋" w:hAnsi="仿宋" w:hint="eastAsia"/>
          <w:b/>
        </w:rPr>
        <w:t xml:space="preserve">  </w:t>
      </w:r>
      <w:r>
        <w:rPr>
          <w:rFonts w:eastAsia="仿宋" w:hAnsi="仿宋" w:hint="eastAsia"/>
        </w:rPr>
        <w:t>中心开放课题管理机构分为三个层次：</w:t>
      </w:r>
    </w:p>
    <w:p w14:paraId="29857170" w14:textId="77777777" w:rsidR="00D86332" w:rsidRDefault="00D86332" w:rsidP="00D86332">
      <w:pPr>
        <w:ind w:firstLineChars="200" w:firstLine="480"/>
        <w:rPr>
          <w:rFonts w:eastAsia="仿宋" w:hAnsi="仿宋"/>
        </w:rPr>
      </w:pPr>
      <w:r>
        <w:rPr>
          <w:rFonts w:eastAsia="仿宋" w:hAnsi="仿宋" w:hint="eastAsia"/>
        </w:rPr>
        <w:t>（一）领导小组：由中心学术委员会负责开放课题研究的立项审批、科研理论和方法的指导以及科研活动的检查评价。</w:t>
      </w:r>
    </w:p>
    <w:p w14:paraId="7F5DA81B" w14:textId="77777777" w:rsidR="00D86332" w:rsidRDefault="00D86332" w:rsidP="00D86332">
      <w:pPr>
        <w:ind w:firstLineChars="200" w:firstLine="480"/>
        <w:rPr>
          <w:rFonts w:eastAsia="仿宋" w:hAnsi="仿宋"/>
        </w:rPr>
      </w:pPr>
      <w:r>
        <w:rPr>
          <w:rFonts w:eastAsia="仿宋" w:hAnsi="仿宋" w:hint="eastAsia"/>
        </w:rPr>
        <w:t>（二）管理小组：由中心主任、各研发平台首席研究员和具体课题负责人组成，负责各课题的实施和操作。课题负责人组织课题组成员制定详尽的课题研究实施方案和课题阶段性目标，同时严格执行计划、加强协调、监督与指导，确保课题研究如期完成。</w:t>
      </w:r>
    </w:p>
    <w:p w14:paraId="47070C85" w14:textId="77777777" w:rsidR="00D86332" w:rsidRDefault="00D86332" w:rsidP="00D86332">
      <w:pPr>
        <w:ind w:firstLineChars="200" w:firstLine="480"/>
        <w:rPr>
          <w:rFonts w:eastAsia="仿宋" w:hAnsi="仿宋"/>
        </w:rPr>
      </w:pPr>
      <w:r>
        <w:rPr>
          <w:rFonts w:eastAsia="仿宋" w:hAnsi="仿宋" w:hint="eastAsia"/>
        </w:rPr>
        <w:t>（三）实施小组：其成员是所有课题研究人员，是所承担课题的具体执行人。课题组成员应以严谨认真地态度对待课题研究，按计划方案有序地开展研究，并做好材料收集整理。课题组成员还要总结经验，及时反思，积极撰写论文。</w:t>
      </w:r>
    </w:p>
    <w:p w14:paraId="747815C4"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第三章</w:t>
      </w:r>
      <w:r>
        <w:rPr>
          <w:rFonts w:eastAsia="仿宋" w:hint="eastAsia"/>
          <w:b/>
          <w:sz w:val="28"/>
          <w:szCs w:val="30"/>
        </w:rPr>
        <w:t xml:space="preserve"> </w:t>
      </w:r>
      <w:r>
        <w:rPr>
          <w:rFonts w:eastAsia="仿宋" w:hint="eastAsia"/>
          <w:b/>
          <w:sz w:val="28"/>
          <w:szCs w:val="30"/>
        </w:rPr>
        <w:t>课题管理</w:t>
      </w:r>
    </w:p>
    <w:p w14:paraId="3DE7FD09" w14:textId="77777777" w:rsidR="00D86332" w:rsidRDefault="00D86332" w:rsidP="00D86332">
      <w:pPr>
        <w:snapToGrid w:val="0"/>
        <w:ind w:firstLineChars="200" w:firstLine="482"/>
        <w:rPr>
          <w:rFonts w:eastAsia="仿宋" w:hAnsi="仿宋"/>
        </w:rPr>
      </w:pPr>
      <w:r>
        <w:rPr>
          <w:rFonts w:eastAsia="仿宋" w:hAnsi="仿宋" w:hint="eastAsia"/>
          <w:b/>
        </w:rPr>
        <w:t>第四条</w:t>
      </w:r>
      <w:r>
        <w:rPr>
          <w:rFonts w:eastAsia="仿宋" w:hAnsi="仿宋" w:hint="eastAsia"/>
          <w:b/>
        </w:rPr>
        <w:t xml:space="preserve">  </w:t>
      </w:r>
      <w:r>
        <w:rPr>
          <w:rFonts w:eastAsia="仿宋" w:hAnsi="仿宋" w:hint="eastAsia"/>
        </w:rPr>
        <w:t>课题分类。课题按照级别可以分为重点课题、一般课题；按性质可以分为：专项攻关课题、重点研究课题；按照隶属关系分类分为：主课题、子课题；按照人员分为集体课题、个人课题。</w:t>
      </w:r>
    </w:p>
    <w:p w14:paraId="07E30D6D" w14:textId="77777777" w:rsidR="00D86332" w:rsidRDefault="00D86332" w:rsidP="00D86332">
      <w:pPr>
        <w:ind w:firstLineChars="200" w:firstLine="482"/>
        <w:rPr>
          <w:rFonts w:eastAsia="仿宋" w:hAnsi="仿宋"/>
        </w:rPr>
      </w:pPr>
      <w:r>
        <w:rPr>
          <w:rFonts w:eastAsia="仿宋" w:hAnsi="仿宋" w:hint="eastAsia"/>
          <w:b/>
        </w:rPr>
        <w:t>第五条</w:t>
      </w:r>
      <w:r>
        <w:rPr>
          <w:rFonts w:eastAsia="仿宋" w:hAnsi="仿宋" w:hint="eastAsia"/>
          <w:b/>
        </w:rPr>
        <w:t xml:space="preserve">  </w:t>
      </w:r>
      <w:r>
        <w:rPr>
          <w:rFonts w:eastAsia="仿宋" w:hAnsi="仿宋" w:hint="eastAsia"/>
        </w:rPr>
        <w:t>课题的申报与立项。校内外符合申报条件者，均可向中心申请立项。</w:t>
      </w:r>
      <w:r>
        <w:rPr>
          <w:rFonts w:eastAsia="仿宋" w:hAnsi="仿宋" w:hint="eastAsia"/>
        </w:rPr>
        <w:lastRenderedPageBreak/>
        <w:t>课题申请人必须按期提交课题申请报告，中心学术委员会负责评估申报课题，所有申请报告和评估结果均需进行公示，并由中心办公室存档。中心优先支持承担国家、区域或行业急需的重大、重点任务。</w:t>
      </w:r>
    </w:p>
    <w:p w14:paraId="2C86C931"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第四章</w:t>
      </w:r>
      <w:r>
        <w:rPr>
          <w:rFonts w:eastAsia="仿宋" w:hint="eastAsia"/>
          <w:b/>
          <w:sz w:val="28"/>
          <w:szCs w:val="30"/>
        </w:rPr>
        <w:t xml:space="preserve"> </w:t>
      </w:r>
      <w:r>
        <w:rPr>
          <w:rFonts w:eastAsia="仿宋" w:hint="eastAsia"/>
          <w:b/>
          <w:sz w:val="28"/>
          <w:szCs w:val="30"/>
        </w:rPr>
        <w:t>课题经费管理</w:t>
      </w:r>
    </w:p>
    <w:p w14:paraId="49E1384A" w14:textId="77777777" w:rsidR="00D86332" w:rsidRPr="00426C15" w:rsidRDefault="00D86332" w:rsidP="00D86332">
      <w:pPr>
        <w:ind w:firstLineChars="200" w:firstLine="482"/>
        <w:rPr>
          <w:rFonts w:eastAsia="仿宋" w:hAnsi="仿宋"/>
        </w:rPr>
      </w:pPr>
      <w:r>
        <w:rPr>
          <w:rFonts w:eastAsia="仿宋" w:hAnsi="仿宋" w:hint="eastAsia"/>
          <w:b/>
        </w:rPr>
        <w:t>第六条</w:t>
      </w:r>
      <w:r>
        <w:rPr>
          <w:rFonts w:eastAsia="仿宋" w:hAnsi="仿宋" w:hint="eastAsia"/>
          <w:b/>
        </w:rPr>
        <w:t xml:space="preserve">  </w:t>
      </w:r>
      <w:r w:rsidRPr="00426C15">
        <w:rPr>
          <w:rFonts w:eastAsia="仿宋" w:hAnsi="仿宋" w:hint="eastAsia"/>
        </w:rPr>
        <w:t>课题经费指在课题研究过程中发生的与研究活动直接相关的费用，课题经费</w:t>
      </w:r>
      <w:r>
        <w:rPr>
          <w:rFonts w:eastAsia="仿宋" w:hAnsi="仿宋" w:hint="eastAsia"/>
        </w:rPr>
        <w:t>管理依据《海派时尚设计及价值创造知识服务中心经费使用和管理办法》执行。</w:t>
      </w:r>
    </w:p>
    <w:p w14:paraId="60394067" w14:textId="77777777" w:rsidR="00D86332" w:rsidRDefault="00D86332" w:rsidP="00D86332">
      <w:pPr>
        <w:ind w:firstLineChars="200" w:firstLine="482"/>
        <w:rPr>
          <w:rFonts w:eastAsia="仿宋" w:hAnsi="仿宋"/>
        </w:rPr>
      </w:pPr>
      <w:r>
        <w:rPr>
          <w:rFonts w:eastAsia="仿宋" w:hAnsi="仿宋" w:hint="eastAsia"/>
          <w:b/>
        </w:rPr>
        <w:t>第七条</w:t>
      </w:r>
      <w:r>
        <w:rPr>
          <w:rFonts w:eastAsia="仿宋" w:hAnsi="仿宋" w:hint="eastAsia"/>
          <w:b/>
        </w:rPr>
        <w:t xml:space="preserve">  </w:t>
      </w:r>
      <w:r>
        <w:rPr>
          <w:rFonts w:eastAsia="仿宋" w:hAnsi="仿宋" w:hint="eastAsia"/>
        </w:rPr>
        <w:t>理事会对课题经费使用情况进行监督、检查、指导。</w:t>
      </w:r>
    </w:p>
    <w:p w14:paraId="0F68A13D"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第五章</w:t>
      </w:r>
      <w:r>
        <w:rPr>
          <w:rFonts w:eastAsia="仿宋" w:hint="eastAsia"/>
          <w:b/>
          <w:sz w:val="28"/>
          <w:szCs w:val="30"/>
        </w:rPr>
        <w:t xml:space="preserve"> </w:t>
      </w:r>
      <w:r>
        <w:rPr>
          <w:rFonts w:eastAsia="仿宋" w:hint="eastAsia"/>
          <w:b/>
          <w:sz w:val="28"/>
          <w:szCs w:val="30"/>
        </w:rPr>
        <w:t>课题过程、结题与鉴定管理</w:t>
      </w:r>
    </w:p>
    <w:p w14:paraId="3BFE5144" w14:textId="77777777" w:rsidR="00D86332" w:rsidRDefault="00D86332" w:rsidP="00D86332">
      <w:pPr>
        <w:ind w:firstLineChars="200" w:firstLine="482"/>
        <w:rPr>
          <w:rFonts w:eastAsia="仿宋" w:hAnsi="仿宋"/>
        </w:rPr>
      </w:pPr>
      <w:r>
        <w:rPr>
          <w:rFonts w:eastAsia="仿宋" w:hAnsi="仿宋" w:hint="eastAsia"/>
          <w:b/>
        </w:rPr>
        <w:t>第八条</w:t>
      </w:r>
      <w:r>
        <w:rPr>
          <w:rFonts w:eastAsia="仿宋" w:hAnsi="仿宋" w:hint="eastAsia"/>
        </w:rPr>
        <w:t xml:space="preserve">  </w:t>
      </w:r>
      <w:r>
        <w:rPr>
          <w:rFonts w:eastAsia="仿宋" w:hAnsi="仿宋" w:hint="eastAsia"/>
        </w:rPr>
        <w:t>课题组必须按课题方案认真组织实施，定期召开课题调研会议，认真做好过程记录，重视各种资料的积累和保管。</w:t>
      </w:r>
    </w:p>
    <w:p w14:paraId="268068B5" w14:textId="77777777" w:rsidR="00D86332" w:rsidRDefault="00D86332" w:rsidP="00D86332">
      <w:pPr>
        <w:ind w:firstLineChars="200" w:firstLine="482"/>
        <w:rPr>
          <w:rFonts w:eastAsia="仿宋" w:hAnsi="仿宋"/>
        </w:rPr>
      </w:pPr>
      <w:r>
        <w:rPr>
          <w:rFonts w:eastAsia="仿宋" w:hAnsi="仿宋" w:hint="eastAsia"/>
          <w:b/>
        </w:rPr>
        <w:t>第九条</w:t>
      </w:r>
      <w:r>
        <w:rPr>
          <w:rFonts w:eastAsia="仿宋" w:hAnsi="仿宋" w:hint="eastAsia"/>
        </w:rPr>
        <w:t xml:space="preserve">  </w:t>
      </w:r>
      <w:r>
        <w:rPr>
          <w:rFonts w:eastAsia="仿宋" w:hAnsi="仿宋" w:hint="eastAsia"/>
        </w:rPr>
        <w:t>中心定期公布各个课题的进展情况，以及课题组成员的科研成果。</w:t>
      </w:r>
    </w:p>
    <w:p w14:paraId="273DBAC7" w14:textId="77777777" w:rsidR="00D86332" w:rsidRDefault="00D86332" w:rsidP="00D86332">
      <w:pPr>
        <w:ind w:firstLineChars="200" w:firstLine="482"/>
        <w:rPr>
          <w:rFonts w:eastAsia="仿宋" w:hAnsi="仿宋"/>
        </w:rPr>
      </w:pPr>
      <w:r>
        <w:rPr>
          <w:rFonts w:eastAsia="仿宋" w:hAnsi="仿宋" w:hint="eastAsia"/>
          <w:b/>
        </w:rPr>
        <w:t>第十条</w:t>
      </w:r>
      <w:r>
        <w:rPr>
          <w:rFonts w:eastAsia="仿宋" w:hAnsi="仿宋" w:hint="eastAsia"/>
        </w:rPr>
        <w:t xml:space="preserve">  </w:t>
      </w:r>
      <w:r>
        <w:rPr>
          <w:rFonts w:eastAsia="仿宋" w:hAnsi="仿宋" w:hint="eastAsia"/>
        </w:rPr>
        <w:t>课题一经立项，不得无故终止研究。对无故不完成研究任务者，中心停止拨款，并追回已拨经费；对因故中止研究者（指项目负责人因出国、生病或其他原因不能继续研究的），中心停止拨款，并追回已拨经费的剩余部分；对因严重违反财务制度或其他原因而被撤项的，追回已拨经费。</w:t>
      </w:r>
    </w:p>
    <w:p w14:paraId="063321AA" w14:textId="77777777" w:rsidR="00D86332" w:rsidRDefault="00D86332" w:rsidP="00D86332">
      <w:pPr>
        <w:ind w:firstLineChars="200" w:firstLine="482"/>
        <w:rPr>
          <w:rFonts w:eastAsia="仿宋" w:hAnsi="仿宋"/>
        </w:rPr>
      </w:pPr>
      <w:r>
        <w:rPr>
          <w:rFonts w:eastAsia="仿宋" w:hAnsi="仿宋" w:hint="eastAsia"/>
          <w:b/>
        </w:rPr>
        <w:t>第十一条</w:t>
      </w:r>
      <w:r>
        <w:rPr>
          <w:rFonts w:eastAsia="仿宋" w:hAnsi="仿宋" w:hint="eastAsia"/>
        </w:rPr>
        <w:t xml:space="preserve">  </w:t>
      </w:r>
      <w:r>
        <w:rPr>
          <w:rFonts w:eastAsia="仿宋" w:hAnsi="仿宋" w:hint="eastAsia"/>
        </w:rPr>
        <w:t>为确保研究质量，各研发平台将配合各课题组负责人，定期检查课题研究工作的落实情况，包括：检查研究的进度；检查课题研究的内容项目是否全面启动，效果如何；检查原始资料的积累以及分类归档情况；检查研究的主要成果的收集等。</w:t>
      </w:r>
    </w:p>
    <w:p w14:paraId="729F212A" w14:textId="344A1BFD" w:rsidR="00D86332" w:rsidRDefault="00D86332" w:rsidP="00D86332">
      <w:pPr>
        <w:ind w:firstLineChars="200" w:firstLine="482"/>
        <w:rPr>
          <w:rFonts w:eastAsia="仿宋" w:hAnsi="仿宋"/>
        </w:rPr>
      </w:pPr>
      <w:r>
        <w:rPr>
          <w:rFonts w:eastAsia="仿宋" w:hAnsi="仿宋" w:hint="eastAsia"/>
          <w:b/>
        </w:rPr>
        <w:t>第十二条</w:t>
      </w:r>
      <w:r>
        <w:rPr>
          <w:rFonts w:eastAsia="仿宋" w:hAnsi="仿宋" w:hint="eastAsia"/>
        </w:rPr>
        <w:t xml:space="preserve">  </w:t>
      </w:r>
      <w:r>
        <w:rPr>
          <w:rFonts w:eastAsia="仿宋" w:hAnsi="仿宋" w:hint="eastAsia"/>
        </w:rPr>
        <w:t>课题组成员所承担的课题成果为中心所有，成果发表或作为内部报告上报时，必须署名本项目为“海派时尚设计及价值创造</w:t>
      </w:r>
      <w:r w:rsidR="00E10E34">
        <w:rPr>
          <w:rFonts w:eastAsia="仿宋" w:hAnsi="仿宋" w:hint="eastAsia"/>
        </w:rPr>
        <w:t>协同创新</w:t>
      </w:r>
      <w:r>
        <w:rPr>
          <w:rFonts w:eastAsia="仿宋" w:hAnsi="仿宋" w:hint="eastAsia"/>
        </w:rPr>
        <w:t>中心”成果，中心有权以“海派时尚设计及价值创造</w:t>
      </w:r>
      <w:r w:rsidR="001627EF">
        <w:rPr>
          <w:rFonts w:eastAsia="仿宋" w:hAnsi="仿宋" w:hint="eastAsia"/>
        </w:rPr>
        <w:t>协同创新</w:t>
      </w:r>
      <w:r>
        <w:rPr>
          <w:rFonts w:eastAsia="仿宋" w:hAnsi="仿宋" w:hint="eastAsia"/>
        </w:rPr>
        <w:t>中心”名义打印或出版相关研究报告；如发表论文，必须署名为“海派时尚设计及价值创造</w:t>
      </w:r>
      <w:r w:rsidR="001627EF">
        <w:rPr>
          <w:rFonts w:eastAsia="仿宋" w:hAnsi="仿宋" w:hint="eastAsia"/>
        </w:rPr>
        <w:t>协同创新</w:t>
      </w:r>
      <w:r>
        <w:rPr>
          <w:rFonts w:eastAsia="仿宋" w:hAnsi="仿宋" w:hint="eastAsia"/>
        </w:rPr>
        <w:t>中心”资助项目。</w:t>
      </w:r>
    </w:p>
    <w:p w14:paraId="5DC8411E" w14:textId="77777777" w:rsidR="00D86332" w:rsidRDefault="00D86332" w:rsidP="00D86332">
      <w:pPr>
        <w:ind w:firstLineChars="200" w:firstLine="482"/>
        <w:rPr>
          <w:rFonts w:eastAsia="仿宋" w:hAnsi="仿宋"/>
        </w:rPr>
      </w:pPr>
      <w:r>
        <w:rPr>
          <w:rFonts w:eastAsia="仿宋" w:hAnsi="仿宋" w:hint="eastAsia"/>
          <w:b/>
        </w:rPr>
        <w:t>第十三条</w:t>
      </w:r>
      <w:r>
        <w:rPr>
          <w:rFonts w:eastAsia="仿宋" w:hAnsi="仿宋" w:hint="eastAsia"/>
        </w:rPr>
        <w:t xml:space="preserve">  </w:t>
      </w:r>
      <w:r>
        <w:rPr>
          <w:rFonts w:eastAsia="仿宋" w:hAnsi="仿宋" w:hint="eastAsia"/>
        </w:rPr>
        <w:t>管理领导小组负责开放课题最终的鉴定和验收工作。凡符合结题条件的课题，课题负责人向中心学术委员会提交开放课题结题报告，并附下列资料：课题研究主题报告、全部研究成果以及反映研究过程的主要资料（文字、图</w:t>
      </w:r>
      <w:r>
        <w:rPr>
          <w:rFonts w:eastAsia="仿宋" w:hAnsi="仿宋" w:hint="eastAsia"/>
        </w:rPr>
        <w:lastRenderedPageBreak/>
        <w:t>表、录音、录像、软件和事物等），经验收通过后方可结题。</w:t>
      </w:r>
    </w:p>
    <w:p w14:paraId="6676F549"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第六章</w:t>
      </w:r>
      <w:r>
        <w:rPr>
          <w:rFonts w:eastAsia="仿宋" w:hint="eastAsia"/>
          <w:b/>
          <w:sz w:val="28"/>
          <w:szCs w:val="30"/>
        </w:rPr>
        <w:t xml:space="preserve"> </w:t>
      </w:r>
      <w:r>
        <w:rPr>
          <w:rFonts w:eastAsia="仿宋" w:hint="eastAsia"/>
          <w:b/>
          <w:sz w:val="28"/>
          <w:szCs w:val="30"/>
        </w:rPr>
        <w:t>总结推广运用</w:t>
      </w:r>
    </w:p>
    <w:p w14:paraId="7CACE61B" w14:textId="77777777" w:rsidR="00D86332" w:rsidRDefault="00D86332" w:rsidP="00D86332">
      <w:pPr>
        <w:ind w:firstLineChars="200" w:firstLine="482"/>
        <w:rPr>
          <w:rFonts w:eastAsia="仿宋" w:hAnsi="仿宋"/>
        </w:rPr>
      </w:pPr>
      <w:r>
        <w:rPr>
          <w:rFonts w:eastAsia="仿宋" w:hAnsi="仿宋" w:hint="eastAsia"/>
          <w:b/>
        </w:rPr>
        <w:t>第十四条</w:t>
      </w:r>
      <w:r>
        <w:rPr>
          <w:rFonts w:eastAsia="仿宋" w:hAnsi="仿宋" w:hint="eastAsia"/>
        </w:rPr>
        <w:t xml:space="preserve">  </w:t>
      </w:r>
      <w:r>
        <w:rPr>
          <w:rFonts w:eastAsia="仿宋" w:hAnsi="仿宋" w:hint="eastAsia"/>
        </w:rPr>
        <w:t>课题结题后，向学校及社会推广，让科研推动中心的发展。</w:t>
      </w:r>
    </w:p>
    <w:p w14:paraId="10048BED" w14:textId="77777777" w:rsidR="00D86332" w:rsidRDefault="00D86332" w:rsidP="00D86332">
      <w:pPr>
        <w:ind w:firstLineChars="200" w:firstLine="482"/>
        <w:rPr>
          <w:rFonts w:eastAsia="仿宋" w:hAnsi="仿宋"/>
        </w:rPr>
      </w:pPr>
      <w:r>
        <w:rPr>
          <w:rFonts w:eastAsia="仿宋" w:hAnsi="仿宋" w:hint="eastAsia"/>
          <w:b/>
        </w:rPr>
        <w:t>第十五条</w:t>
      </w:r>
      <w:r>
        <w:rPr>
          <w:rFonts w:eastAsia="仿宋" w:hAnsi="仿宋" w:hint="eastAsia"/>
        </w:rPr>
        <w:t xml:space="preserve">  </w:t>
      </w:r>
      <w:r>
        <w:rPr>
          <w:rFonts w:eastAsia="仿宋" w:hAnsi="仿宋" w:hint="eastAsia"/>
        </w:rPr>
        <w:t>中心每年不定期举办产学研沙龙、科研成果交流会，利用中心各种传媒宣传推广先进的研究成果。</w:t>
      </w:r>
    </w:p>
    <w:p w14:paraId="1978CF27" w14:textId="77777777" w:rsidR="00D86332" w:rsidRDefault="00D86332" w:rsidP="00D86332">
      <w:pPr>
        <w:ind w:firstLineChars="200" w:firstLine="482"/>
        <w:rPr>
          <w:rFonts w:eastAsia="仿宋" w:hAnsi="仿宋"/>
        </w:rPr>
      </w:pPr>
      <w:r>
        <w:rPr>
          <w:rFonts w:eastAsia="仿宋" w:hAnsi="仿宋" w:hint="eastAsia"/>
          <w:b/>
        </w:rPr>
        <w:t>第十六条</w:t>
      </w:r>
      <w:r>
        <w:rPr>
          <w:rFonts w:eastAsia="仿宋" w:hAnsi="仿宋" w:hint="eastAsia"/>
          <w:b/>
        </w:rPr>
        <w:t xml:space="preserve">  </w:t>
      </w:r>
      <w:r>
        <w:rPr>
          <w:rFonts w:eastAsia="仿宋" w:hAnsi="仿宋" w:hint="eastAsia"/>
        </w:rPr>
        <w:t>中心创造条件让一切有较高价值的科研成果通过媒体得到更广泛的宣传。</w:t>
      </w:r>
    </w:p>
    <w:p w14:paraId="4AAFCCA8" w14:textId="77777777" w:rsidR="00D86332" w:rsidRDefault="00D86332" w:rsidP="00D86332">
      <w:pPr>
        <w:ind w:firstLineChars="200" w:firstLine="482"/>
        <w:rPr>
          <w:rFonts w:eastAsia="仿宋" w:hAnsi="仿宋"/>
        </w:rPr>
      </w:pPr>
      <w:r>
        <w:rPr>
          <w:rFonts w:eastAsia="仿宋" w:hAnsi="仿宋" w:hint="eastAsia"/>
          <w:b/>
        </w:rPr>
        <w:t>第十七条</w:t>
      </w:r>
      <w:r>
        <w:rPr>
          <w:rFonts w:eastAsia="仿宋" w:hAnsi="仿宋" w:hint="eastAsia"/>
          <w:b/>
        </w:rPr>
        <w:t xml:space="preserve">  </w:t>
      </w:r>
      <w:r>
        <w:rPr>
          <w:rFonts w:eastAsia="仿宋" w:hAnsi="仿宋" w:hint="eastAsia"/>
        </w:rPr>
        <w:t>中心重点资助、优先考虑课题成果优秀的成员，在立项上优先考虑历年来按时完成课题的研究人员。</w:t>
      </w:r>
    </w:p>
    <w:p w14:paraId="554B196E" w14:textId="77777777" w:rsidR="00D86332" w:rsidRDefault="00D86332" w:rsidP="00D86332">
      <w:pPr>
        <w:snapToGrid w:val="0"/>
        <w:spacing w:beforeLines="100" w:before="312"/>
        <w:jc w:val="center"/>
        <w:outlineLvl w:val="1"/>
        <w:rPr>
          <w:rFonts w:eastAsia="仿宋"/>
          <w:b/>
          <w:sz w:val="28"/>
          <w:szCs w:val="30"/>
        </w:rPr>
      </w:pPr>
      <w:r>
        <w:rPr>
          <w:rFonts w:eastAsia="仿宋" w:hint="eastAsia"/>
          <w:b/>
          <w:sz w:val="28"/>
          <w:szCs w:val="30"/>
        </w:rPr>
        <w:t>第七章</w:t>
      </w:r>
      <w:r>
        <w:rPr>
          <w:rFonts w:eastAsia="仿宋" w:hint="eastAsia"/>
          <w:b/>
          <w:sz w:val="28"/>
          <w:szCs w:val="30"/>
        </w:rPr>
        <w:t xml:space="preserve"> </w:t>
      </w:r>
      <w:r>
        <w:rPr>
          <w:rFonts w:eastAsia="仿宋" w:hint="eastAsia"/>
          <w:b/>
          <w:sz w:val="28"/>
          <w:szCs w:val="30"/>
        </w:rPr>
        <w:t>附则</w:t>
      </w:r>
    </w:p>
    <w:p w14:paraId="3D1B66FB" w14:textId="77777777" w:rsidR="00D86332" w:rsidRDefault="00D86332" w:rsidP="00D86332">
      <w:pPr>
        <w:ind w:firstLineChars="200" w:firstLine="482"/>
        <w:rPr>
          <w:rFonts w:eastAsia="仿宋" w:hAnsi="仿宋"/>
        </w:rPr>
      </w:pPr>
      <w:r>
        <w:rPr>
          <w:rFonts w:eastAsia="仿宋" w:hAnsi="仿宋" w:hint="eastAsia"/>
          <w:b/>
        </w:rPr>
        <w:t>第十八条</w:t>
      </w:r>
      <w:r>
        <w:rPr>
          <w:rFonts w:eastAsia="仿宋" w:hAnsi="仿宋" w:hint="eastAsia"/>
          <w:b/>
        </w:rPr>
        <w:t xml:space="preserve">  </w:t>
      </w:r>
      <w:r>
        <w:rPr>
          <w:rFonts w:eastAsia="仿宋" w:hAnsi="仿宋" w:hint="eastAsia"/>
        </w:rPr>
        <w:t>本办法的修改，须经理事会表决通过后方能生效实施。</w:t>
      </w:r>
    </w:p>
    <w:p w14:paraId="5F4A72BD" w14:textId="77777777" w:rsidR="00D86332" w:rsidRDefault="00D86332" w:rsidP="00D86332">
      <w:pPr>
        <w:ind w:firstLineChars="200" w:firstLine="482"/>
        <w:rPr>
          <w:rFonts w:eastAsia="仿宋" w:hAnsi="仿宋"/>
        </w:rPr>
      </w:pPr>
      <w:r>
        <w:rPr>
          <w:rFonts w:eastAsia="仿宋" w:hAnsi="仿宋" w:hint="eastAsia"/>
          <w:b/>
        </w:rPr>
        <w:t>第十九条</w:t>
      </w:r>
      <w:r>
        <w:rPr>
          <w:rFonts w:eastAsia="仿宋" w:hAnsi="仿宋" w:hint="eastAsia"/>
        </w:rPr>
        <w:t xml:space="preserve">  </w:t>
      </w:r>
      <w:r>
        <w:rPr>
          <w:rFonts w:eastAsia="仿宋" w:hAnsi="仿宋" w:hint="eastAsia"/>
        </w:rPr>
        <w:t>本办法规定如与国家法律、法规和政策不符，以国家法律、法规和政策为准。</w:t>
      </w:r>
    </w:p>
    <w:p w14:paraId="4620A868" w14:textId="77777777" w:rsidR="00D86332" w:rsidRDefault="00D86332" w:rsidP="00D86332">
      <w:pPr>
        <w:ind w:firstLineChars="200" w:firstLine="482"/>
        <w:rPr>
          <w:rFonts w:eastAsia="仿宋" w:hAnsi="仿宋"/>
        </w:rPr>
      </w:pPr>
      <w:r>
        <w:rPr>
          <w:rFonts w:eastAsia="仿宋" w:hAnsi="仿宋" w:hint="eastAsia"/>
          <w:b/>
        </w:rPr>
        <w:t>第二十条</w:t>
      </w:r>
      <w:r>
        <w:rPr>
          <w:rFonts w:eastAsia="仿宋" w:hAnsi="仿宋" w:hint="eastAsia"/>
        </w:rPr>
        <w:t xml:space="preserve">  </w:t>
      </w:r>
      <w:r>
        <w:rPr>
          <w:rFonts w:eastAsia="仿宋" w:hAnsi="仿宋" w:hint="eastAsia"/>
        </w:rPr>
        <w:t>本办法的解释权属于本中心理事会。</w:t>
      </w:r>
    </w:p>
    <w:p w14:paraId="6DE97F43" w14:textId="77777777" w:rsidR="00D86332" w:rsidRDefault="00D86332" w:rsidP="00D86332">
      <w:pPr>
        <w:pStyle w:val="a5"/>
        <w:tabs>
          <w:tab w:val="left" w:pos="1985"/>
        </w:tabs>
        <w:ind w:firstLineChars="0" w:firstLine="0"/>
        <w:jc w:val="right"/>
        <w:rPr>
          <w:rFonts w:eastAsia="仿宋" w:hAnsi="仿宋"/>
          <w:szCs w:val="24"/>
        </w:rPr>
      </w:pPr>
    </w:p>
    <w:p w14:paraId="31C4133E" w14:textId="77777777" w:rsidR="00D86332" w:rsidRDefault="00D86332" w:rsidP="00D86332">
      <w:pPr>
        <w:pStyle w:val="a5"/>
        <w:tabs>
          <w:tab w:val="left" w:pos="1985"/>
        </w:tabs>
        <w:ind w:firstLineChars="0" w:firstLine="0"/>
        <w:jc w:val="right"/>
        <w:rPr>
          <w:rFonts w:eastAsia="仿宋" w:hAnsi="仿宋"/>
          <w:szCs w:val="24"/>
        </w:rPr>
      </w:pPr>
    </w:p>
    <w:p w14:paraId="4A230C90" w14:textId="77777777" w:rsidR="00D86332" w:rsidRDefault="00D86332" w:rsidP="00D86332">
      <w:pPr>
        <w:pStyle w:val="a5"/>
        <w:tabs>
          <w:tab w:val="left" w:pos="1985"/>
        </w:tabs>
        <w:ind w:firstLineChars="0" w:firstLine="0"/>
        <w:jc w:val="right"/>
        <w:rPr>
          <w:rFonts w:eastAsia="仿宋" w:hAnsi="仿宋"/>
          <w:szCs w:val="24"/>
        </w:rPr>
      </w:pPr>
      <w:r>
        <w:rPr>
          <w:rFonts w:eastAsia="仿宋" w:hAnsi="仿宋"/>
          <w:szCs w:val="24"/>
        </w:rPr>
        <w:t>海派时尚设计及价值创造</w:t>
      </w:r>
      <w:r>
        <w:rPr>
          <w:rFonts w:eastAsia="仿宋" w:hAnsi="仿宋" w:hint="eastAsia"/>
          <w:szCs w:val="24"/>
        </w:rPr>
        <w:t>协同创新</w:t>
      </w:r>
      <w:r>
        <w:rPr>
          <w:rFonts w:eastAsia="仿宋" w:hAnsi="仿宋"/>
          <w:szCs w:val="24"/>
        </w:rPr>
        <w:t>中心</w:t>
      </w:r>
    </w:p>
    <w:p w14:paraId="3DA5BE63" w14:textId="77777777" w:rsidR="00D86332" w:rsidRDefault="00D86332" w:rsidP="00D86332">
      <w:pPr>
        <w:pStyle w:val="a5"/>
        <w:tabs>
          <w:tab w:val="left" w:pos="1985"/>
        </w:tabs>
        <w:wordWrap w:val="0"/>
        <w:ind w:right="1200" w:firstLineChars="150" w:firstLine="360"/>
        <w:jc w:val="right"/>
        <w:rPr>
          <w:rFonts w:eastAsia="仿宋"/>
          <w:szCs w:val="30"/>
        </w:rPr>
      </w:pPr>
      <w:r>
        <w:rPr>
          <w:rFonts w:eastAsia="仿宋" w:hAnsi="仿宋"/>
          <w:color w:val="000000"/>
          <w:szCs w:val="24"/>
        </w:rPr>
        <w:t>二〇一四年</w:t>
      </w:r>
      <w:r>
        <w:rPr>
          <w:rFonts w:eastAsia="仿宋" w:hAnsi="仿宋" w:hint="eastAsia"/>
          <w:color w:val="000000"/>
          <w:szCs w:val="24"/>
        </w:rPr>
        <w:t>七</w:t>
      </w:r>
      <w:r>
        <w:rPr>
          <w:rFonts w:eastAsia="仿宋" w:hAnsi="仿宋"/>
          <w:color w:val="000000"/>
          <w:szCs w:val="24"/>
        </w:rPr>
        <w:t>月</w:t>
      </w:r>
    </w:p>
    <w:p w14:paraId="1A85C026" w14:textId="77777777" w:rsidR="00D86332" w:rsidRPr="007F4CCA" w:rsidRDefault="00D86332" w:rsidP="00D86332">
      <w:pPr>
        <w:pStyle w:val="a5"/>
        <w:tabs>
          <w:tab w:val="left" w:pos="1985"/>
        </w:tabs>
        <w:ind w:firstLineChars="150" w:firstLine="360"/>
        <w:jc w:val="center"/>
        <w:rPr>
          <w:rFonts w:ascii="仿宋" w:eastAsia="仿宋" w:hAnsi="仿宋"/>
        </w:rPr>
      </w:pPr>
    </w:p>
    <w:p w14:paraId="19EA6D38" w14:textId="77777777" w:rsidR="00D86332" w:rsidRPr="00FE5B7E" w:rsidRDefault="00D86332" w:rsidP="00D86332">
      <w:pPr>
        <w:spacing w:line="480" w:lineRule="auto"/>
        <w:jc w:val="center"/>
        <w:rPr>
          <w:rFonts w:cs="Times New Roman"/>
        </w:rPr>
      </w:pPr>
    </w:p>
    <w:sectPr w:rsidR="00D86332" w:rsidRPr="00FE5B7E" w:rsidSect="00334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9DCB1" w14:textId="77777777" w:rsidR="00EE10C3" w:rsidRDefault="00EE10C3" w:rsidP="00D30709">
      <w:pPr>
        <w:spacing w:line="240" w:lineRule="auto"/>
      </w:pPr>
      <w:r>
        <w:separator/>
      </w:r>
    </w:p>
  </w:endnote>
  <w:endnote w:type="continuationSeparator" w:id="0">
    <w:p w14:paraId="1A3FA3FF" w14:textId="77777777" w:rsidR="00EE10C3" w:rsidRDefault="00EE10C3" w:rsidP="00D30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7FB1C" w14:textId="77777777" w:rsidR="00EE10C3" w:rsidRDefault="00EE10C3" w:rsidP="00D30709">
      <w:pPr>
        <w:spacing w:line="240" w:lineRule="auto"/>
      </w:pPr>
      <w:r>
        <w:separator/>
      </w:r>
    </w:p>
  </w:footnote>
  <w:footnote w:type="continuationSeparator" w:id="0">
    <w:p w14:paraId="01867279" w14:textId="77777777" w:rsidR="00EE10C3" w:rsidRDefault="00EE10C3" w:rsidP="00D307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6033"/>
    <w:multiLevelType w:val="hybridMultilevel"/>
    <w:tmpl w:val="4AA64024"/>
    <w:lvl w:ilvl="0" w:tplc="FEF24D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4106D0"/>
    <w:multiLevelType w:val="hybridMultilevel"/>
    <w:tmpl w:val="33C0A8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2F24DD"/>
    <w:multiLevelType w:val="hybridMultilevel"/>
    <w:tmpl w:val="0BF2B35E"/>
    <w:lvl w:ilvl="0" w:tplc="6C88F9B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94552B"/>
    <w:multiLevelType w:val="hybridMultilevel"/>
    <w:tmpl w:val="DC5896E8"/>
    <w:lvl w:ilvl="0" w:tplc="B250387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D0710C"/>
    <w:multiLevelType w:val="hybridMultilevel"/>
    <w:tmpl w:val="DC5896E8"/>
    <w:lvl w:ilvl="0" w:tplc="B250387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E0"/>
    <w:rsid w:val="00040C36"/>
    <w:rsid w:val="00060739"/>
    <w:rsid w:val="000B7B9A"/>
    <w:rsid w:val="000E040E"/>
    <w:rsid w:val="001236C1"/>
    <w:rsid w:val="00152219"/>
    <w:rsid w:val="001627EF"/>
    <w:rsid w:val="00184965"/>
    <w:rsid w:val="001A35DD"/>
    <w:rsid w:val="001A646E"/>
    <w:rsid w:val="001A754A"/>
    <w:rsid w:val="001F6023"/>
    <w:rsid w:val="00210FC1"/>
    <w:rsid w:val="00217E32"/>
    <w:rsid w:val="00233CFD"/>
    <w:rsid w:val="00267FB9"/>
    <w:rsid w:val="00276788"/>
    <w:rsid w:val="002A6109"/>
    <w:rsid w:val="002B3B4B"/>
    <w:rsid w:val="002C29E0"/>
    <w:rsid w:val="002F36AB"/>
    <w:rsid w:val="00306195"/>
    <w:rsid w:val="00307A74"/>
    <w:rsid w:val="0032093A"/>
    <w:rsid w:val="00334C79"/>
    <w:rsid w:val="00336EF7"/>
    <w:rsid w:val="003A458A"/>
    <w:rsid w:val="003D2F43"/>
    <w:rsid w:val="003E218D"/>
    <w:rsid w:val="00422C5B"/>
    <w:rsid w:val="004231CE"/>
    <w:rsid w:val="004352BF"/>
    <w:rsid w:val="0044642C"/>
    <w:rsid w:val="00460C4D"/>
    <w:rsid w:val="004B11E5"/>
    <w:rsid w:val="004B7910"/>
    <w:rsid w:val="004C6461"/>
    <w:rsid w:val="004D1C36"/>
    <w:rsid w:val="004E4176"/>
    <w:rsid w:val="00511C48"/>
    <w:rsid w:val="00527BCE"/>
    <w:rsid w:val="005A044F"/>
    <w:rsid w:val="005B6609"/>
    <w:rsid w:val="005D200A"/>
    <w:rsid w:val="005E3A13"/>
    <w:rsid w:val="005F35F0"/>
    <w:rsid w:val="006072C8"/>
    <w:rsid w:val="0062009D"/>
    <w:rsid w:val="00627166"/>
    <w:rsid w:val="006506F8"/>
    <w:rsid w:val="00663225"/>
    <w:rsid w:val="00665F40"/>
    <w:rsid w:val="006C29E9"/>
    <w:rsid w:val="006C6106"/>
    <w:rsid w:val="006F2BDC"/>
    <w:rsid w:val="00701427"/>
    <w:rsid w:val="0070512B"/>
    <w:rsid w:val="00723C7D"/>
    <w:rsid w:val="00743CCA"/>
    <w:rsid w:val="00756350"/>
    <w:rsid w:val="007916FC"/>
    <w:rsid w:val="007A5D29"/>
    <w:rsid w:val="007A72FC"/>
    <w:rsid w:val="007D10F0"/>
    <w:rsid w:val="007D2FA3"/>
    <w:rsid w:val="00834018"/>
    <w:rsid w:val="00843295"/>
    <w:rsid w:val="008432BB"/>
    <w:rsid w:val="00845BD2"/>
    <w:rsid w:val="00875A63"/>
    <w:rsid w:val="008770D0"/>
    <w:rsid w:val="00881358"/>
    <w:rsid w:val="008A1111"/>
    <w:rsid w:val="008C76B0"/>
    <w:rsid w:val="008D3EBE"/>
    <w:rsid w:val="008D47A1"/>
    <w:rsid w:val="008F3F2C"/>
    <w:rsid w:val="0090240C"/>
    <w:rsid w:val="0092080A"/>
    <w:rsid w:val="00921E63"/>
    <w:rsid w:val="00946E30"/>
    <w:rsid w:val="00952721"/>
    <w:rsid w:val="00962365"/>
    <w:rsid w:val="009623C4"/>
    <w:rsid w:val="00966426"/>
    <w:rsid w:val="009672F0"/>
    <w:rsid w:val="009A1FF0"/>
    <w:rsid w:val="009B4271"/>
    <w:rsid w:val="009C04C4"/>
    <w:rsid w:val="009C4A6E"/>
    <w:rsid w:val="009E5E16"/>
    <w:rsid w:val="00A01A4C"/>
    <w:rsid w:val="00A106D5"/>
    <w:rsid w:val="00A44403"/>
    <w:rsid w:val="00A44632"/>
    <w:rsid w:val="00A47FDD"/>
    <w:rsid w:val="00A94661"/>
    <w:rsid w:val="00AB5D69"/>
    <w:rsid w:val="00AC10B9"/>
    <w:rsid w:val="00AE6552"/>
    <w:rsid w:val="00AF4B06"/>
    <w:rsid w:val="00AF51FF"/>
    <w:rsid w:val="00B94FD1"/>
    <w:rsid w:val="00B95537"/>
    <w:rsid w:val="00BB2D8F"/>
    <w:rsid w:val="00BE186C"/>
    <w:rsid w:val="00C0395D"/>
    <w:rsid w:val="00C32321"/>
    <w:rsid w:val="00C55D4E"/>
    <w:rsid w:val="00C6264E"/>
    <w:rsid w:val="00C62CA6"/>
    <w:rsid w:val="00C86172"/>
    <w:rsid w:val="00C90BC0"/>
    <w:rsid w:val="00CF04FF"/>
    <w:rsid w:val="00CF54AE"/>
    <w:rsid w:val="00D04040"/>
    <w:rsid w:val="00D30709"/>
    <w:rsid w:val="00D65566"/>
    <w:rsid w:val="00D65EC0"/>
    <w:rsid w:val="00D75CC6"/>
    <w:rsid w:val="00D86332"/>
    <w:rsid w:val="00D92E06"/>
    <w:rsid w:val="00DA76E0"/>
    <w:rsid w:val="00DB2376"/>
    <w:rsid w:val="00DE7645"/>
    <w:rsid w:val="00E10E34"/>
    <w:rsid w:val="00E1288B"/>
    <w:rsid w:val="00E15BD7"/>
    <w:rsid w:val="00E52C02"/>
    <w:rsid w:val="00E663B7"/>
    <w:rsid w:val="00E66948"/>
    <w:rsid w:val="00E7633B"/>
    <w:rsid w:val="00E822F1"/>
    <w:rsid w:val="00E92DA3"/>
    <w:rsid w:val="00EC187F"/>
    <w:rsid w:val="00EE10C3"/>
    <w:rsid w:val="00F00E3D"/>
    <w:rsid w:val="00F20511"/>
    <w:rsid w:val="00F35BA7"/>
    <w:rsid w:val="00F43B58"/>
    <w:rsid w:val="00F7316A"/>
    <w:rsid w:val="00FA4C7C"/>
    <w:rsid w:val="00FB5613"/>
    <w:rsid w:val="00FC0FED"/>
    <w:rsid w:val="00FE1878"/>
    <w:rsid w:val="00FE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C655"/>
  <w15:docId w15:val="{6E07BCCB-A930-4A21-AFC1-7C3387CD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432BB"/>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2BB"/>
    <w:rPr>
      <w:color w:val="0563C1" w:themeColor="hyperlink"/>
      <w:u w:val="single"/>
    </w:rPr>
  </w:style>
  <w:style w:type="character" w:customStyle="1" w:styleId="1">
    <w:name w:val="@他1"/>
    <w:basedOn w:val="a0"/>
    <w:uiPriority w:val="99"/>
    <w:semiHidden/>
    <w:unhideWhenUsed/>
    <w:rsid w:val="008432BB"/>
    <w:rPr>
      <w:color w:val="2B579A"/>
      <w:shd w:val="clear" w:color="auto" w:fill="E6E6E6"/>
    </w:rPr>
  </w:style>
  <w:style w:type="table" w:styleId="a4">
    <w:name w:val="Table Grid"/>
    <w:basedOn w:val="a1"/>
    <w:uiPriority w:val="59"/>
    <w:rsid w:val="0012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1427"/>
    <w:pPr>
      <w:ind w:firstLineChars="200" w:firstLine="420"/>
    </w:pPr>
  </w:style>
  <w:style w:type="character" w:styleId="a6">
    <w:name w:val="annotation reference"/>
    <w:basedOn w:val="a0"/>
    <w:uiPriority w:val="99"/>
    <w:semiHidden/>
    <w:unhideWhenUsed/>
    <w:rsid w:val="004B11E5"/>
    <w:rPr>
      <w:sz w:val="21"/>
      <w:szCs w:val="21"/>
    </w:rPr>
  </w:style>
  <w:style w:type="paragraph" w:styleId="a7">
    <w:name w:val="annotation text"/>
    <w:basedOn w:val="a"/>
    <w:link w:val="a8"/>
    <w:uiPriority w:val="99"/>
    <w:semiHidden/>
    <w:unhideWhenUsed/>
    <w:rsid w:val="004B11E5"/>
    <w:pPr>
      <w:jc w:val="left"/>
    </w:pPr>
  </w:style>
  <w:style w:type="character" w:customStyle="1" w:styleId="a8">
    <w:name w:val="批注文字 字符"/>
    <w:basedOn w:val="a0"/>
    <w:link w:val="a7"/>
    <w:uiPriority w:val="99"/>
    <w:semiHidden/>
    <w:rsid w:val="004B11E5"/>
    <w:rPr>
      <w:rFonts w:ascii="Times New Roman" w:eastAsia="宋体" w:hAnsi="Times New Roman"/>
      <w:sz w:val="24"/>
    </w:rPr>
  </w:style>
  <w:style w:type="paragraph" w:styleId="a9">
    <w:name w:val="annotation subject"/>
    <w:basedOn w:val="a7"/>
    <w:next w:val="a7"/>
    <w:link w:val="aa"/>
    <w:uiPriority w:val="99"/>
    <w:semiHidden/>
    <w:unhideWhenUsed/>
    <w:rsid w:val="004B11E5"/>
    <w:rPr>
      <w:b/>
      <w:bCs/>
    </w:rPr>
  </w:style>
  <w:style w:type="character" w:customStyle="1" w:styleId="aa">
    <w:name w:val="批注主题 字符"/>
    <w:basedOn w:val="a8"/>
    <w:link w:val="a9"/>
    <w:uiPriority w:val="99"/>
    <w:semiHidden/>
    <w:rsid w:val="004B11E5"/>
    <w:rPr>
      <w:rFonts w:ascii="Times New Roman" w:eastAsia="宋体" w:hAnsi="Times New Roman"/>
      <w:b/>
      <w:bCs/>
      <w:sz w:val="24"/>
    </w:rPr>
  </w:style>
  <w:style w:type="paragraph" w:styleId="ab">
    <w:name w:val="Balloon Text"/>
    <w:basedOn w:val="a"/>
    <w:link w:val="ac"/>
    <w:uiPriority w:val="99"/>
    <w:semiHidden/>
    <w:unhideWhenUsed/>
    <w:rsid w:val="004B11E5"/>
    <w:pPr>
      <w:spacing w:line="240" w:lineRule="auto"/>
    </w:pPr>
    <w:rPr>
      <w:sz w:val="18"/>
      <w:szCs w:val="18"/>
    </w:rPr>
  </w:style>
  <w:style w:type="character" w:customStyle="1" w:styleId="ac">
    <w:name w:val="批注框文本 字符"/>
    <w:basedOn w:val="a0"/>
    <w:link w:val="ab"/>
    <w:uiPriority w:val="99"/>
    <w:semiHidden/>
    <w:rsid w:val="004B11E5"/>
    <w:rPr>
      <w:rFonts w:ascii="Times New Roman" w:eastAsia="宋体" w:hAnsi="Times New Roman"/>
      <w:sz w:val="18"/>
      <w:szCs w:val="18"/>
    </w:rPr>
  </w:style>
  <w:style w:type="paragraph" w:styleId="ad">
    <w:name w:val="header"/>
    <w:basedOn w:val="a"/>
    <w:link w:val="ae"/>
    <w:uiPriority w:val="99"/>
    <w:unhideWhenUsed/>
    <w:rsid w:val="00D30709"/>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D30709"/>
    <w:rPr>
      <w:rFonts w:ascii="Times New Roman" w:eastAsia="宋体" w:hAnsi="Times New Roman"/>
      <w:sz w:val="18"/>
      <w:szCs w:val="18"/>
    </w:rPr>
  </w:style>
  <w:style w:type="paragraph" w:styleId="af">
    <w:name w:val="footer"/>
    <w:basedOn w:val="a"/>
    <w:link w:val="af0"/>
    <w:uiPriority w:val="99"/>
    <w:unhideWhenUsed/>
    <w:rsid w:val="00D30709"/>
    <w:pPr>
      <w:tabs>
        <w:tab w:val="center" w:pos="4153"/>
        <w:tab w:val="right" w:pos="8306"/>
      </w:tabs>
      <w:snapToGrid w:val="0"/>
      <w:spacing w:line="240" w:lineRule="auto"/>
      <w:jc w:val="left"/>
    </w:pPr>
    <w:rPr>
      <w:sz w:val="18"/>
      <w:szCs w:val="18"/>
    </w:rPr>
  </w:style>
  <w:style w:type="character" w:customStyle="1" w:styleId="af0">
    <w:name w:val="页脚 字符"/>
    <w:basedOn w:val="a0"/>
    <w:link w:val="af"/>
    <w:uiPriority w:val="99"/>
    <w:rsid w:val="00D30709"/>
    <w:rPr>
      <w:rFonts w:ascii="Times New Roman" w:eastAsia="宋体" w:hAnsi="Times New Roman"/>
      <w:sz w:val="18"/>
      <w:szCs w:val="18"/>
    </w:rPr>
  </w:style>
  <w:style w:type="paragraph" w:styleId="af1">
    <w:name w:val="Body Text Indent"/>
    <w:basedOn w:val="a"/>
    <w:link w:val="af2"/>
    <w:rsid w:val="009E5E16"/>
    <w:pPr>
      <w:spacing w:after="120" w:line="240" w:lineRule="auto"/>
      <w:ind w:leftChars="200" w:left="420"/>
    </w:pPr>
    <w:rPr>
      <w:rFonts w:cs="Times New Roman"/>
      <w:sz w:val="21"/>
      <w:szCs w:val="24"/>
      <w:lang w:val="x-none" w:eastAsia="x-none"/>
    </w:rPr>
  </w:style>
  <w:style w:type="character" w:customStyle="1" w:styleId="af2">
    <w:name w:val="正文文本缩进 字符"/>
    <w:basedOn w:val="a0"/>
    <w:link w:val="af1"/>
    <w:rsid w:val="009E5E16"/>
    <w:rPr>
      <w:rFonts w:ascii="Times New Roman" w:eastAsia="宋体" w:hAnsi="Times New Roman" w:cs="Times New Roman"/>
      <w:szCs w:val="24"/>
      <w:lang w:val="x-none" w:eastAsia="x-none"/>
    </w:rPr>
  </w:style>
  <w:style w:type="paragraph" w:styleId="af3">
    <w:name w:val="Date"/>
    <w:basedOn w:val="a"/>
    <w:next w:val="a"/>
    <w:link w:val="af4"/>
    <w:uiPriority w:val="99"/>
    <w:semiHidden/>
    <w:unhideWhenUsed/>
    <w:rsid w:val="003D2F43"/>
    <w:pPr>
      <w:ind w:leftChars="2500" w:left="100"/>
    </w:pPr>
  </w:style>
  <w:style w:type="character" w:customStyle="1" w:styleId="af4">
    <w:name w:val="日期 字符"/>
    <w:basedOn w:val="a0"/>
    <w:link w:val="af3"/>
    <w:uiPriority w:val="99"/>
    <w:semiHidden/>
    <w:rsid w:val="003D2F43"/>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9A28-1C77-48DB-BBFE-47A09A1E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蔡钰茹</dc:creator>
  <cp:keywords/>
  <dc:description/>
  <cp:lastModifiedBy>FDVC</cp:lastModifiedBy>
  <cp:revision>2</cp:revision>
  <dcterms:created xsi:type="dcterms:W3CDTF">2017-04-18T07:19:00Z</dcterms:created>
  <dcterms:modified xsi:type="dcterms:W3CDTF">2017-04-18T07:19:00Z</dcterms:modified>
</cp:coreProperties>
</file>